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3FE198CB"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F5748F">
          <w:rPr>
            <w:noProof/>
            <w:webHidden/>
          </w:rPr>
          <w:t>4</w:t>
        </w:r>
        <w:r w:rsidR="00DD3144">
          <w:rPr>
            <w:noProof/>
            <w:webHidden/>
          </w:rPr>
          <w:fldChar w:fldCharType="end"/>
        </w:r>
      </w:hyperlink>
    </w:p>
    <w:p w14:paraId="649DCDC2" w14:textId="02917F4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F5748F">
          <w:rPr>
            <w:noProof/>
            <w:webHidden/>
          </w:rPr>
          <w:t>9</w:t>
        </w:r>
        <w:r>
          <w:rPr>
            <w:noProof/>
            <w:webHidden/>
          </w:rPr>
          <w:fldChar w:fldCharType="end"/>
        </w:r>
      </w:hyperlink>
    </w:p>
    <w:p w14:paraId="14EB7B59" w14:textId="79196FB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F5748F">
          <w:rPr>
            <w:noProof/>
            <w:webHidden/>
          </w:rPr>
          <w:t>9</w:t>
        </w:r>
        <w:r>
          <w:rPr>
            <w:noProof/>
            <w:webHidden/>
          </w:rPr>
          <w:fldChar w:fldCharType="end"/>
        </w:r>
      </w:hyperlink>
    </w:p>
    <w:p w14:paraId="28E7C014" w14:textId="224B7678"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F5748F">
          <w:rPr>
            <w:noProof/>
            <w:webHidden/>
          </w:rPr>
          <w:t>14</w:t>
        </w:r>
        <w:r>
          <w:rPr>
            <w:noProof/>
            <w:webHidden/>
          </w:rPr>
          <w:fldChar w:fldCharType="end"/>
        </w:r>
      </w:hyperlink>
    </w:p>
    <w:p w14:paraId="5DC08253" w14:textId="32D442F5"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F5748F">
          <w:rPr>
            <w:noProof/>
            <w:webHidden/>
          </w:rPr>
          <w:t>26</w:t>
        </w:r>
        <w:r>
          <w:rPr>
            <w:noProof/>
            <w:webHidden/>
          </w:rPr>
          <w:fldChar w:fldCharType="end"/>
        </w:r>
      </w:hyperlink>
    </w:p>
    <w:p w14:paraId="3D5499CC" w14:textId="33FBA61D"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F5748F">
          <w:rPr>
            <w:noProof/>
            <w:webHidden/>
          </w:rPr>
          <w:t>28</w:t>
        </w:r>
        <w:r>
          <w:rPr>
            <w:noProof/>
            <w:webHidden/>
          </w:rPr>
          <w:fldChar w:fldCharType="end"/>
        </w:r>
      </w:hyperlink>
    </w:p>
    <w:p w14:paraId="719CF34F" w14:textId="71E6D4AC"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F5748F">
          <w:rPr>
            <w:noProof/>
            <w:webHidden/>
          </w:rPr>
          <w:t>28</w:t>
        </w:r>
        <w:r>
          <w:rPr>
            <w:noProof/>
            <w:webHidden/>
          </w:rPr>
          <w:fldChar w:fldCharType="end"/>
        </w:r>
      </w:hyperlink>
    </w:p>
    <w:p w14:paraId="2D2F137D" w14:textId="3EEE6D46"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F5748F">
          <w:rPr>
            <w:noProof/>
            <w:webHidden/>
          </w:rPr>
          <w:t>33</w:t>
        </w:r>
        <w:r>
          <w:rPr>
            <w:noProof/>
            <w:webHidden/>
          </w:rPr>
          <w:fldChar w:fldCharType="end"/>
        </w:r>
      </w:hyperlink>
    </w:p>
    <w:p w14:paraId="020B6A92" w14:textId="2A930AF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F5748F">
          <w:rPr>
            <w:noProof/>
            <w:webHidden/>
          </w:rPr>
          <w:t>33</w:t>
        </w:r>
        <w:r>
          <w:rPr>
            <w:noProof/>
            <w:webHidden/>
          </w:rPr>
          <w:fldChar w:fldCharType="end"/>
        </w:r>
      </w:hyperlink>
    </w:p>
    <w:p w14:paraId="0B041372" w14:textId="6128A85B"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F5748F">
          <w:rPr>
            <w:noProof/>
            <w:webHidden/>
          </w:rPr>
          <w:t>34</w:t>
        </w:r>
        <w:r>
          <w:rPr>
            <w:noProof/>
            <w:webHidden/>
          </w:rPr>
          <w:fldChar w:fldCharType="end"/>
        </w:r>
      </w:hyperlink>
    </w:p>
    <w:p w14:paraId="366ABCEE" w14:textId="0A7A3714"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F5748F">
          <w:rPr>
            <w:noProof/>
            <w:webHidden/>
          </w:rPr>
          <w:t>37</w:t>
        </w:r>
        <w:r>
          <w:rPr>
            <w:noProof/>
            <w:webHidden/>
          </w:rPr>
          <w:fldChar w:fldCharType="end"/>
        </w:r>
      </w:hyperlink>
    </w:p>
    <w:p w14:paraId="37DECFFE" w14:textId="4393CFC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F5748F">
          <w:rPr>
            <w:noProof/>
            <w:webHidden/>
          </w:rPr>
          <w:t>39</w:t>
        </w:r>
        <w:r>
          <w:rPr>
            <w:noProof/>
            <w:webHidden/>
          </w:rPr>
          <w:fldChar w:fldCharType="end"/>
        </w:r>
      </w:hyperlink>
    </w:p>
    <w:p w14:paraId="79DE1026" w14:textId="718A4F89"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F5748F">
          <w:rPr>
            <w:noProof/>
            <w:webHidden/>
          </w:rPr>
          <w:t>41</w:t>
        </w:r>
        <w:r>
          <w:rPr>
            <w:noProof/>
            <w:webHidden/>
          </w:rPr>
          <w:fldChar w:fldCharType="end"/>
        </w:r>
      </w:hyperlink>
    </w:p>
    <w:p w14:paraId="571E6994" w14:textId="206F9592"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F5748F">
          <w:rPr>
            <w:noProof/>
            <w:webHidden/>
          </w:rPr>
          <w:t>41</w:t>
        </w:r>
        <w:r>
          <w:rPr>
            <w:noProof/>
            <w:webHidden/>
          </w:rPr>
          <w:fldChar w:fldCharType="end"/>
        </w:r>
      </w:hyperlink>
    </w:p>
    <w:p w14:paraId="44C542A2" w14:textId="215B800B"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F5748F">
          <w:rPr>
            <w:noProof/>
            <w:webHidden/>
          </w:rPr>
          <w:t>46</w:t>
        </w:r>
        <w:r>
          <w:rPr>
            <w:noProof/>
            <w:webHidden/>
          </w:rPr>
          <w:fldChar w:fldCharType="end"/>
        </w:r>
      </w:hyperlink>
    </w:p>
    <w:p w14:paraId="5E9A21F5" w14:textId="50C5B2E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F5748F">
          <w:rPr>
            <w:noProof/>
            <w:webHidden/>
          </w:rPr>
          <w:t>49</w:t>
        </w:r>
        <w:r>
          <w:rPr>
            <w:noProof/>
            <w:webHidden/>
          </w:rPr>
          <w:fldChar w:fldCharType="end"/>
        </w:r>
      </w:hyperlink>
    </w:p>
    <w:p w14:paraId="5A159D6D" w14:textId="345EA50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F5748F">
          <w:rPr>
            <w:noProof/>
            <w:webHidden/>
          </w:rPr>
          <w:t>50</w:t>
        </w:r>
        <w:r>
          <w:rPr>
            <w:noProof/>
            <w:webHidden/>
          </w:rPr>
          <w:fldChar w:fldCharType="end"/>
        </w:r>
      </w:hyperlink>
    </w:p>
    <w:p w14:paraId="0A454E3F" w14:textId="19A30E4F"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F5748F">
          <w:rPr>
            <w:noProof/>
            <w:webHidden/>
          </w:rPr>
          <w:t>51</w:t>
        </w:r>
        <w:r>
          <w:rPr>
            <w:noProof/>
            <w:webHidden/>
          </w:rPr>
          <w:fldChar w:fldCharType="end"/>
        </w:r>
      </w:hyperlink>
    </w:p>
    <w:p w14:paraId="1FD76CBA" w14:textId="0E0ED66B"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F5748F">
          <w:rPr>
            <w:noProof/>
            <w:webHidden/>
          </w:rPr>
          <w:t>51</w:t>
        </w:r>
        <w:r>
          <w:rPr>
            <w:noProof/>
            <w:webHidden/>
          </w:rPr>
          <w:fldChar w:fldCharType="end"/>
        </w:r>
      </w:hyperlink>
    </w:p>
    <w:p w14:paraId="2672EAFF" w14:textId="5E788CA0"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F5748F">
          <w:rPr>
            <w:noProof/>
            <w:webHidden/>
          </w:rPr>
          <w:t>52</w:t>
        </w:r>
        <w:r>
          <w:rPr>
            <w:noProof/>
            <w:webHidden/>
          </w:rPr>
          <w:fldChar w:fldCharType="end"/>
        </w:r>
      </w:hyperlink>
    </w:p>
    <w:p w14:paraId="21AE00CB" w14:textId="11870A25"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F5748F">
          <w:rPr>
            <w:noProof/>
            <w:webHidden/>
          </w:rPr>
          <w:t>53</w:t>
        </w:r>
        <w:r>
          <w:rPr>
            <w:noProof/>
            <w:webHidden/>
          </w:rPr>
          <w:fldChar w:fldCharType="end"/>
        </w:r>
      </w:hyperlink>
    </w:p>
    <w:p w14:paraId="2B614284" w14:textId="1092F2E0"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F5748F">
          <w:rPr>
            <w:noProof/>
            <w:webHidden/>
          </w:rPr>
          <w:t>54</w:t>
        </w:r>
        <w:r>
          <w:rPr>
            <w:noProof/>
            <w:webHidden/>
          </w:rPr>
          <w:fldChar w:fldCharType="end"/>
        </w:r>
      </w:hyperlink>
    </w:p>
    <w:p w14:paraId="4D418277" w14:textId="67FE68C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w:t>
        </w:r>
        <w:r w:rsidRPr="004B5035">
          <w:rPr>
            <w:rStyle w:val="Hyperlink"/>
            <w:noProof/>
          </w:rPr>
          <w:t xml:space="preserve"> </w:t>
        </w:r>
        <w:r w:rsidRPr="004B5035">
          <w:rPr>
            <w:rStyle w:val="Hyperlink"/>
            <w:noProof/>
          </w:rPr>
          <w:t>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F5748F">
          <w:rPr>
            <w:noProof/>
            <w:webHidden/>
          </w:rPr>
          <w:t>57</w:t>
        </w:r>
        <w:r>
          <w:rPr>
            <w:noProof/>
            <w:webHidden/>
          </w:rPr>
          <w:fldChar w:fldCharType="end"/>
        </w:r>
      </w:hyperlink>
    </w:p>
    <w:p w14:paraId="6536F821" w14:textId="6422E5A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F5748F">
          <w:rPr>
            <w:noProof/>
            <w:webHidden/>
          </w:rPr>
          <w:t>57</w:t>
        </w:r>
        <w:r>
          <w:rPr>
            <w:noProof/>
            <w:webHidden/>
          </w:rPr>
          <w:fldChar w:fldCharType="end"/>
        </w:r>
      </w:hyperlink>
    </w:p>
    <w:p w14:paraId="08D9EF38" w14:textId="740FCF86"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F5748F">
          <w:rPr>
            <w:noProof/>
            <w:webHidden/>
          </w:rPr>
          <w:t>62</w:t>
        </w:r>
        <w:r>
          <w:rPr>
            <w:noProof/>
            <w:webHidden/>
          </w:rPr>
          <w:fldChar w:fldCharType="end"/>
        </w:r>
      </w:hyperlink>
    </w:p>
    <w:p w14:paraId="2BBAFA08" w14:textId="1C5BFB5E"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F5748F">
          <w:rPr>
            <w:noProof/>
            <w:webHidden/>
          </w:rPr>
          <w:t>63</w:t>
        </w:r>
        <w:r>
          <w:rPr>
            <w:noProof/>
            <w:webHidden/>
          </w:rPr>
          <w:fldChar w:fldCharType="end"/>
        </w:r>
      </w:hyperlink>
    </w:p>
    <w:p w14:paraId="3F16D1B5" w14:textId="62AF5C18"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F5748F">
          <w:rPr>
            <w:noProof/>
            <w:webHidden/>
          </w:rPr>
          <w:t>65</w:t>
        </w:r>
        <w:r>
          <w:rPr>
            <w:noProof/>
            <w:webHidden/>
          </w:rPr>
          <w:fldChar w:fldCharType="end"/>
        </w:r>
      </w:hyperlink>
    </w:p>
    <w:p w14:paraId="6977ED8F" w14:textId="77B144F9"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F5748F">
          <w:rPr>
            <w:noProof/>
            <w:webHidden/>
          </w:rPr>
          <w:t>65</w:t>
        </w:r>
        <w:r>
          <w:rPr>
            <w:noProof/>
            <w:webHidden/>
          </w:rPr>
          <w:fldChar w:fldCharType="end"/>
        </w:r>
      </w:hyperlink>
    </w:p>
    <w:p w14:paraId="38E17ADD" w14:textId="068ABD5B"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F5748F">
          <w:rPr>
            <w:noProof/>
            <w:webHidden/>
          </w:rPr>
          <w:t>69</w:t>
        </w:r>
        <w:r>
          <w:rPr>
            <w:noProof/>
            <w:webHidden/>
          </w:rPr>
          <w:fldChar w:fldCharType="end"/>
        </w:r>
      </w:hyperlink>
    </w:p>
    <w:p w14:paraId="3D334A0D" w14:textId="58A370F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F5748F">
          <w:rPr>
            <w:noProof/>
            <w:webHidden/>
          </w:rPr>
          <w:t>73</w:t>
        </w:r>
        <w:r>
          <w:rPr>
            <w:noProof/>
            <w:webHidden/>
          </w:rPr>
          <w:fldChar w:fldCharType="end"/>
        </w:r>
      </w:hyperlink>
    </w:p>
    <w:p w14:paraId="73AC9F6C" w14:textId="1C620B08"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F5748F">
          <w:rPr>
            <w:noProof/>
            <w:webHidden/>
          </w:rPr>
          <w:t>73</w:t>
        </w:r>
        <w:r>
          <w:rPr>
            <w:noProof/>
            <w:webHidden/>
          </w:rPr>
          <w:fldChar w:fldCharType="end"/>
        </w:r>
      </w:hyperlink>
    </w:p>
    <w:p w14:paraId="406CF61C" w14:textId="5F4053F4"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F5748F">
          <w:rPr>
            <w:noProof/>
            <w:webHidden/>
          </w:rPr>
          <w:t>75</w:t>
        </w:r>
        <w:r>
          <w:rPr>
            <w:noProof/>
            <w:webHidden/>
          </w:rPr>
          <w:fldChar w:fldCharType="end"/>
        </w:r>
      </w:hyperlink>
    </w:p>
    <w:p w14:paraId="2F2A5E06" w14:textId="07D013C1"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F5748F">
          <w:rPr>
            <w:noProof/>
            <w:webHidden/>
          </w:rPr>
          <w:t>75</w:t>
        </w:r>
        <w:r>
          <w:rPr>
            <w:noProof/>
            <w:webHidden/>
          </w:rPr>
          <w:fldChar w:fldCharType="end"/>
        </w:r>
      </w:hyperlink>
    </w:p>
    <w:p w14:paraId="0765DB75" w14:textId="12A4332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F5748F">
          <w:rPr>
            <w:noProof/>
            <w:webHidden/>
          </w:rPr>
          <w:t>80</w:t>
        </w:r>
        <w:r>
          <w:rPr>
            <w:noProof/>
            <w:webHidden/>
          </w:rPr>
          <w:fldChar w:fldCharType="end"/>
        </w:r>
      </w:hyperlink>
    </w:p>
    <w:p w14:paraId="69A0D1B9" w14:textId="1DB7B75A"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F5748F">
          <w:rPr>
            <w:noProof/>
            <w:webHidden/>
          </w:rPr>
          <w:t>82</w:t>
        </w:r>
        <w:r>
          <w:rPr>
            <w:noProof/>
            <w:webHidden/>
          </w:rPr>
          <w:fldChar w:fldCharType="end"/>
        </w:r>
      </w:hyperlink>
    </w:p>
    <w:p w14:paraId="599A8537" w14:textId="5BF5D045"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F5748F">
          <w:rPr>
            <w:noProof/>
            <w:webHidden/>
          </w:rPr>
          <w:t>84</w:t>
        </w:r>
        <w:r>
          <w:rPr>
            <w:noProof/>
            <w:webHidden/>
          </w:rPr>
          <w:fldChar w:fldCharType="end"/>
        </w:r>
      </w:hyperlink>
    </w:p>
    <w:p w14:paraId="17F5751C" w14:textId="432C8BDE"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F5748F">
          <w:rPr>
            <w:noProof/>
            <w:webHidden/>
          </w:rPr>
          <w:t>87</w:t>
        </w:r>
        <w:r>
          <w:rPr>
            <w:noProof/>
            <w:webHidden/>
          </w:rPr>
          <w:fldChar w:fldCharType="end"/>
        </w:r>
      </w:hyperlink>
    </w:p>
    <w:p w14:paraId="3E9A7CC0" w14:textId="26ADBE56"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F5748F">
          <w:rPr>
            <w:noProof/>
            <w:webHidden/>
          </w:rPr>
          <w:t>89</w:t>
        </w:r>
        <w:r>
          <w:rPr>
            <w:noProof/>
            <w:webHidden/>
          </w:rPr>
          <w:fldChar w:fldCharType="end"/>
        </w:r>
      </w:hyperlink>
    </w:p>
    <w:p w14:paraId="47B0B9D3" w14:textId="2767B97F"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F5748F">
          <w:rPr>
            <w:noProof/>
            <w:webHidden/>
          </w:rPr>
          <w:t>91</w:t>
        </w:r>
        <w:r>
          <w:rPr>
            <w:noProof/>
            <w:webHidden/>
          </w:rPr>
          <w:fldChar w:fldCharType="end"/>
        </w:r>
      </w:hyperlink>
    </w:p>
    <w:p w14:paraId="61D5B8F4" w14:textId="3B6ECF49"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F5748F">
          <w:rPr>
            <w:noProof/>
            <w:webHidden/>
          </w:rPr>
          <w:t>91</w:t>
        </w:r>
        <w:r>
          <w:rPr>
            <w:noProof/>
            <w:webHidden/>
          </w:rPr>
          <w:fldChar w:fldCharType="end"/>
        </w:r>
      </w:hyperlink>
    </w:p>
    <w:p w14:paraId="5F2558A8" w14:textId="663DB0B1"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F5748F">
          <w:rPr>
            <w:noProof/>
            <w:webHidden/>
          </w:rPr>
          <w:t>95</w:t>
        </w:r>
        <w:r>
          <w:rPr>
            <w:noProof/>
            <w:webHidden/>
          </w:rPr>
          <w:fldChar w:fldCharType="end"/>
        </w:r>
      </w:hyperlink>
    </w:p>
    <w:p w14:paraId="36C71413" w14:textId="77070CCF"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F5748F">
          <w:rPr>
            <w:noProof/>
            <w:webHidden/>
          </w:rPr>
          <w:t>98</w:t>
        </w:r>
        <w:r>
          <w:rPr>
            <w:noProof/>
            <w:webHidden/>
          </w:rPr>
          <w:fldChar w:fldCharType="end"/>
        </w:r>
      </w:hyperlink>
    </w:p>
    <w:p w14:paraId="0E59FE16" w14:textId="1E734738"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F5748F">
          <w:rPr>
            <w:noProof/>
            <w:webHidden/>
          </w:rPr>
          <w:t>99</w:t>
        </w:r>
        <w:r>
          <w:rPr>
            <w:noProof/>
            <w:webHidden/>
          </w:rPr>
          <w:fldChar w:fldCharType="end"/>
        </w:r>
      </w:hyperlink>
    </w:p>
    <w:p w14:paraId="2D755C06" w14:textId="14241650"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F5748F">
          <w:rPr>
            <w:noProof/>
            <w:webHidden/>
          </w:rPr>
          <w:t>99</w:t>
        </w:r>
        <w:r>
          <w:rPr>
            <w:noProof/>
            <w:webHidden/>
          </w:rPr>
          <w:fldChar w:fldCharType="end"/>
        </w:r>
      </w:hyperlink>
    </w:p>
    <w:p w14:paraId="0A581758" w14:textId="7C315146"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F5748F">
          <w:rPr>
            <w:noProof/>
            <w:webHidden/>
          </w:rPr>
          <w:t>107</w:t>
        </w:r>
        <w:r>
          <w:rPr>
            <w:noProof/>
            <w:webHidden/>
          </w:rPr>
          <w:fldChar w:fldCharType="end"/>
        </w:r>
      </w:hyperlink>
    </w:p>
    <w:p w14:paraId="7084312E" w14:textId="4B116B64"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F5748F">
          <w:rPr>
            <w:noProof/>
            <w:webHidden/>
          </w:rPr>
          <w:t>108</w:t>
        </w:r>
        <w:r>
          <w:rPr>
            <w:noProof/>
            <w:webHidden/>
          </w:rPr>
          <w:fldChar w:fldCharType="end"/>
        </w:r>
      </w:hyperlink>
    </w:p>
    <w:p w14:paraId="1A5FA3FB" w14:textId="3A0A087D"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F5748F">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F365709" w:rsidR="00093CA9" w:rsidRDefault="00CD0634" w:rsidP="00093CA9">
            <w:r w:rsidRPr="00CD0634">
              <w:t>BTG Advaya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6794934B" w:rsidR="00093CA9" w:rsidRDefault="00167A5F" w:rsidP="00093CA9">
            <w:r w:rsidRPr="00167A5F">
              <w:t>Carbon Credit Trading Scheme 2023 (the “CCTS”) and Detailed Procedure for Offset Mechanism under CCTS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64306D" w14:textId="7E6F3184" w:rsidR="008B1716" w:rsidRPr="001B076A" w:rsidRDefault="008B1716" w:rsidP="008B1716">
            <w:pPr>
              <w:pStyle w:val="ListParagraph"/>
              <w:numPr>
                <w:ilvl w:val="0"/>
                <w:numId w:val="55"/>
              </w:numPr>
              <w:rPr>
                <w:lang w:val="en-IN"/>
              </w:rPr>
            </w:pPr>
            <w:hyperlink r:id="rId17" w:history="1">
              <w:r w:rsidRPr="001B076A">
                <w:rPr>
                  <w:rStyle w:val="Hyperlink"/>
                  <w:lang w:val="en-IN"/>
                </w:rPr>
                <w:t>Carbon Credit Trading Scheme, 2023</w:t>
              </w:r>
            </w:hyperlink>
            <w:r w:rsidRPr="001B076A">
              <w:rPr>
                <w:lang w:val="en-IN"/>
              </w:rPr>
              <w:t xml:space="preserve"> </w:t>
            </w:r>
          </w:p>
          <w:p w14:paraId="3FA28ECE" w14:textId="77777777" w:rsidR="008B1716" w:rsidRPr="001B076A" w:rsidRDefault="008B1716" w:rsidP="008B1716">
            <w:pPr>
              <w:pStyle w:val="ListParagraph"/>
              <w:numPr>
                <w:ilvl w:val="0"/>
                <w:numId w:val="55"/>
              </w:numPr>
              <w:rPr>
                <w:lang w:val="en-IN"/>
              </w:rPr>
            </w:pPr>
            <w:hyperlink r:id="rId18" w:history="1">
              <w:r w:rsidRPr="001B076A">
                <w:rPr>
                  <w:rStyle w:val="Hyperlink"/>
                  <w:lang w:val="en-IN"/>
                </w:rPr>
                <w:t>Energy Conservation Act, 2001</w:t>
              </w:r>
            </w:hyperlink>
            <w:r w:rsidRPr="001B076A">
              <w:rPr>
                <w:lang w:val="en-IN"/>
              </w:rPr>
              <w:t xml:space="preserve"> </w:t>
            </w:r>
          </w:p>
          <w:p w14:paraId="5A4D3A12" w14:textId="77777777" w:rsidR="008B1716" w:rsidRPr="001B076A" w:rsidRDefault="008B1716" w:rsidP="008B1716">
            <w:pPr>
              <w:pStyle w:val="ListParagraph"/>
              <w:numPr>
                <w:ilvl w:val="0"/>
                <w:numId w:val="55"/>
              </w:numPr>
              <w:rPr>
                <w:lang w:val="en-IN"/>
              </w:rPr>
            </w:pPr>
            <w:hyperlink r:id="rId19" w:history="1">
              <w:r w:rsidRPr="001B076A">
                <w:rPr>
                  <w:rStyle w:val="Hyperlink"/>
                  <w:lang w:val="en-IN"/>
                </w:rPr>
                <w:t>Accreditation Procedure and Eligibility Criteria for Accredited Carbon Verification Agency (July 2024)</w:t>
              </w:r>
            </w:hyperlink>
          </w:p>
          <w:p w14:paraId="5FB99815" w14:textId="77777777" w:rsidR="008B1716" w:rsidRPr="001B076A" w:rsidRDefault="008B1716" w:rsidP="008B1716">
            <w:pPr>
              <w:pStyle w:val="ListParagraph"/>
              <w:numPr>
                <w:ilvl w:val="0"/>
                <w:numId w:val="55"/>
              </w:numPr>
              <w:rPr>
                <w:lang w:val="en-IN"/>
              </w:rPr>
            </w:pPr>
            <w:hyperlink r:id="rId20" w:history="1">
              <w:r w:rsidRPr="001B076A">
                <w:rPr>
                  <w:rStyle w:val="Hyperlink"/>
                  <w:lang w:val="en-IN"/>
                </w:rPr>
                <w:t>Detailed Procedure for Compliance Procedure under CCTS (July 2024)</w:t>
              </w:r>
            </w:hyperlink>
          </w:p>
          <w:p w14:paraId="0FEE4EDB" w14:textId="77777777" w:rsidR="008B1716" w:rsidRDefault="008B1716" w:rsidP="008B1716">
            <w:pPr>
              <w:pStyle w:val="ListParagraph"/>
              <w:numPr>
                <w:ilvl w:val="0"/>
                <w:numId w:val="55"/>
              </w:numPr>
              <w:rPr>
                <w:lang w:val="en-IN"/>
              </w:rPr>
            </w:pPr>
            <w:hyperlink r:id="rId21" w:history="1">
              <w:r w:rsidRPr="001B076A">
                <w:rPr>
                  <w:rStyle w:val="Hyperlink"/>
                  <w:lang w:val="en-IN"/>
                </w:rPr>
                <w:t>OM issued by Bureau of Energy Efficiency (BEE) on Approved Sectors in Offset Mechanism under CCTS by Central Government (September 20, 2024)</w:t>
              </w:r>
            </w:hyperlink>
          </w:p>
          <w:p w14:paraId="1523C232" w14:textId="3515B161" w:rsidR="00F5748F" w:rsidRPr="00033A1A" w:rsidRDefault="008B1716" w:rsidP="00033A1A">
            <w:pPr>
              <w:pStyle w:val="ListParagraph"/>
              <w:numPr>
                <w:ilvl w:val="0"/>
                <w:numId w:val="55"/>
              </w:numPr>
              <w:rPr>
                <w:lang w:val="en-IN"/>
              </w:rPr>
            </w:pPr>
            <w:hyperlink r:id="rId22" w:history="1">
              <w:r w:rsidRPr="008B1716">
                <w:rPr>
                  <w:rStyle w:val="Hyperlink"/>
                  <w:lang w:val="en-IN"/>
                </w:rPr>
                <w:t>Detailed Procedure for Offset Mechanism (March 2025)</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565FA2C1" w:rsidR="00093CA9" w:rsidRDefault="00167A5F"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6F69AC13" w:rsidR="00093CA9" w:rsidRPr="00370428" w:rsidRDefault="000F10A8" w:rsidP="00033A1A">
            <w:pPr>
              <w:jc w:val="both"/>
            </w:pPr>
            <w:r w:rsidRPr="00033A1A">
              <w:t>This policy tool delineates the Indian carbon market, establishing a national framework with the aim of reducing, removing, or avoiding the greenhouse gases emissions from the Indian economy. It seeks to achieve this by pricing the greenhouse gases emission reduction through trading of the carbon credit certificates.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ED69ED1" w:rsidR="00093CA9" w:rsidRDefault="00EB363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2921F0BE"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1C42A30B" w:rsidR="00093CA9" w:rsidRPr="00370428" w:rsidRDefault="00B95026" w:rsidP="00033A1A">
            <w:pPr>
              <w:jc w:val="both"/>
            </w:pPr>
            <w:r w:rsidRPr="00033A1A">
              <w:t xml:space="preserve">The Carbon Credit Trading Scheme, 2023 has come on force on June 28, </w:t>
            </w:r>
            <w:r w:rsidR="00E75F62" w:rsidRPr="00033A1A">
              <w:t>2023,</w:t>
            </w:r>
            <w:r w:rsidRPr="00033A1A">
              <w:t xml:space="preserve"> as per para 1 of the said scheme. However, some of the provisions under the policy tool are currently at a development stage as necessary regulations, mechanisms, and market infrastructure are being established.</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5686675" w:rsidR="00093CA9" w:rsidRPr="00173D7C" w:rsidRDefault="00B95026"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CA77CD5" w:rsidR="00093CA9" w:rsidRPr="00173D7C" w:rsidRDefault="00B95026"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68E18990" w:rsidR="00093CA9" w:rsidRPr="00587FAE" w:rsidRDefault="00EB3638" w:rsidP="00093CA9">
            <w:pPr>
              <w:rPr>
                <w:color w:val="000000" w:themeColor="text1"/>
              </w:rPr>
            </w:pPr>
            <w:r>
              <w:rPr>
                <w:color w:val="000000" w:themeColor="text1"/>
              </w:rPr>
              <w:t>2</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E2551B2" w:rsidR="00093CA9" w:rsidRPr="007419BF" w:rsidRDefault="000F10A8" w:rsidP="00093CA9">
            <w:pPr>
              <w:rPr>
                <w:color w:val="000000" w:themeColor="text1"/>
              </w:rPr>
            </w:pPr>
            <w:r>
              <w:rPr>
                <w:color w:val="000000" w:themeColor="text1"/>
              </w:rPr>
              <w:t xml:space="preserve">No explicit end date mentioned. </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8177C09" w:rsidR="00093CA9" w:rsidRDefault="000F10A8" w:rsidP="00093CA9">
            <w:r>
              <w:t>Ministry of Power</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9EA4860" w:rsidR="00093CA9" w:rsidRPr="00370428" w:rsidRDefault="000F10A8" w:rsidP="000F10A8">
            <w:r w:rsidRPr="00033A1A">
              <w:t>Ministry of Power</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1D8B8A2" w:rsidR="00093CA9" w:rsidRPr="006B7B0D" w:rsidRDefault="000F10A8"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D5F4635" w:rsidR="00093CA9" w:rsidRPr="00370428" w:rsidRDefault="000F10A8" w:rsidP="000F10A8">
            <w:r w:rsidRPr="00033A1A">
              <w:t>Ministry of Environment, Forest and Climate Change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4D6F0744" w:rsidR="00093CA9" w:rsidRPr="006B7B0D" w:rsidRDefault="000F10A8"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636A7C45"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C59306D" w:rsidR="00093CA9" w:rsidRPr="00370428" w:rsidRDefault="000F10A8" w:rsidP="000F10A8">
            <w:r w:rsidRPr="00033A1A">
              <w:t>Bureau of Energy Efficiency</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40DDD7FB" w:rsidR="00093CA9" w:rsidRPr="006B7B0D" w:rsidRDefault="000F10A8" w:rsidP="00093CA9">
            <w:r>
              <w:t>X</w:t>
            </w:r>
          </w:p>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6C893089" w:rsidR="00093CA9" w:rsidRPr="00033A1A" w:rsidRDefault="000F10A8" w:rsidP="00093CA9">
            <w:r w:rsidRPr="00033A1A">
              <w:t>Central Electricity Regulatory Commission</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A83CB90" w:rsidR="00093CA9" w:rsidRPr="006B7B0D" w:rsidRDefault="000F10A8" w:rsidP="00093CA9">
            <w:r>
              <w:t>X</w:t>
            </w:r>
          </w:p>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3A8D510E" w:rsidR="00093CA9" w:rsidRPr="00370428" w:rsidRDefault="000F10A8" w:rsidP="00093CA9">
            <w:r w:rsidRPr="00033A1A">
              <w:t>Grid Controller of India Limited</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4455EDC8" w:rsidR="00093CA9" w:rsidRPr="006B7B0D" w:rsidRDefault="000F10A8" w:rsidP="00093CA9">
            <w:r>
              <w:t>X</w:t>
            </w:r>
          </w:p>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6FF550A0" w14:textId="5EC091C5" w:rsidR="00EB3638" w:rsidRDefault="00EB3638" w:rsidP="00033A1A">
            <w:pPr>
              <w:jc w:val="both"/>
            </w:pPr>
            <w:r>
              <w:t>The Indian Carbon Market (ICM) Framework is governed and operationalised by distinct authorities</w:t>
            </w:r>
          </w:p>
          <w:p w14:paraId="3BB4BCD1" w14:textId="1CDEA8C7" w:rsidR="00EB3638" w:rsidRDefault="00EB3638" w:rsidP="00033A1A">
            <w:pPr>
              <w:pStyle w:val="ListParagraph"/>
              <w:numPr>
                <w:ilvl w:val="0"/>
                <w:numId w:val="51"/>
              </w:numPr>
              <w:jc w:val="both"/>
            </w:pPr>
            <w:r>
              <w:t>The Ministry of Power (MoP) issues the CCTS, decides on covered sectors and obligated entities, and recommends GHG emission intensity targets to the MoEFCC. It also co-chairs the National Steering Committee for ICM (NSC-ICM).</w:t>
            </w:r>
          </w:p>
          <w:p w14:paraId="1222B127" w14:textId="3CA9CF8E" w:rsidR="00EB3638" w:rsidRDefault="00EB3638" w:rsidP="00033A1A">
            <w:pPr>
              <w:pStyle w:val="ListParagraph"/>
              <w:numPr>
                <w:ilvl w:val="0"/>
                <w:numId w:val="51"/>
              </w:numPr>
              <w:jc w:val="both"/>
            </w:pPr>
            <w:r>
              <w:t>The Ministry of Environment, Forest and Climate Change (MoEFCC) notifies GHG emission intensity targets for obligated entities under the Environment Protection Act, 1986, based on MoP’s recommendations. It also co-chairs the NSC-ICM.</w:t>
            </w:r>
          </w:p>
          <w:p w14:paraId="1B662AA5" w14:textId="206916EB" w:rsidR="00EB3638" w:rsidRDefault="00EB3638" w:rsidP="00033A1A">
            <w:pPr>
              <w:pStyle w:val="ListParagraph"/>
              <w:numPr>
                <w:ilvl w:val="0"/>
                <w:numId w:val="51"/>
              </w:numPr>
              <w:jc w:val="both"/>
            </w:pPr>
            <w:r>
              <w:t>The Bureau of Energy Efficiency (BEE) administers the ICM, developing procedures for accredited carbon verification agencies, accrediting agencies, trajectories and targets for entities, issuing CCCs based on NSC-ICM recommendations and approval, developing and maintaining IT infrastructure, and identifying sectoral scope and methodologies for the Offset Mechanism.</w:t>
            </w:r>
          </w:p>
          <w:p w14:paraId="24092E8D" w14:textId="77777777" w:rsidR="00EB3638" w:rsidRDefault="00EB3638" w:rsidP="00033A1A">
            <w:pPr>
              <w:pStyle w:val="ListParagraph"/>
              <w:numPr>
                <w:ilvl w:val="0"/>
                <w:numId w:val="51"/>
              </w:numPr>
              <w:jc w:val="both"/>
            </w:pPr>
            <w:r>
              <w:t xml:space="preserve">The Central Electricity Regulatory Commission (CERC) regulates ICM trading activities. It registers Power Exchanges, approves CCC trading, safeguards interests, and oversees the market to prevent fraud. </w:t>
            </w:r>
          </w:p>
          <w:p w14:paraId="42D06D03" w14:textId="67C83421" w:rsidR="00EB3638" w:rsidRDefault="00EB3638" w:rsidP="00033A1A">
            <w:pPr>
              <w:pStyle w:val="ListParagraph"/>
              <w:numPr>
                <w:ilvl w:val="0"/>
                <w:numId w:val="51"/>
              </w:numPr>
              <w:jc w:val="both"/>
            </w:pPr>
            <w:r>
              <w:t>The Grid Controller of India Limited serves as the Registry for the ICM, registering obligated and non-obligated entities, maintaining secure databases, recording transactions, and establishing linkages with other registries.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27A1885D"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2F0EBE0" w:rsidR="00093CA9" w:rsidRDefault="00D6375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47186E4F" w:rsidR="00093CA9" w:rsidRPr="00370428" w:rsidRDefault="00D63750" w:rsidP="00033A1A">
            <w:pPr>
              <w:jc w:val="both"/>
            </w:pPr>
            <w:r w:rsidRPr="00033A1A">
              <w:t>Para 5 and Para 12 of the Detailed Procedure read with Para 12 of the CCTS Scheme, lays down the monitoring and reporting process of CCTS. Further, Para 11 of the CCTS Scheme contains the Compliance Mechanism.</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CD0634"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CD0634"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CD0634"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4FA669" w:rsidR="00D4323A" w:rsidRPr="00CF2E7C" w:rsidRDefault="003E4836"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669C8224" w:rsidR="00D4323A" w:rsidRPr="00CF2E7C" w:rsidRDefault="003E4836"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55C36E2" w:rsidR="00D4323A" w:rsidRPr="00CF2E7C" w:rsidRDefault="00D4323A" w:rsidP="00CF2E7C">
            <w:pPr>
              <w:rPr>
                <w:rFonts w:ascii="Calibri" w:hAnsi="Calibri" w:cs="Calibri"/>
              </w:rPr>
            </w:pPr>
          </w:p>
        </w:tc>
        <w:tc>
          <w:tcPr>
            <w:tcW w:w="1723" w:type="dxa"/>
            <w:vAlign w:val="center"/>
          </w:tcPr>
          <w:p w14:paraId="0BD0C46F" w14:textId="7B5AA451" w:rsidR="00D4323A" w:rsidRPr="00CF2E7C" w:rsidRDefault="00EB3638"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421E940F" w:rsidR="00D4323A" w:rsidRPr="00CF2E7C" w:rsidRDefault="003E4836" w:rsidP="00CF2E7C">
            <w:pPr>
              <w:rPr>
                <w:rFonts w:ascii="Calibri" w:hAnsi="Calibri" w:cs="Calibri"/>
              </w:rPr>
            </w:pPr>
            <w:r>
              <w:rPr>
                <w:rFonts w:ascii="Calibri" w:hAnsi="Calibri" w:cs="Calibri"/>
              </w:rPr>
              <w:t>X</w:t>
            </w:r>
          </w:p>
        </w:tc>
        <w:tc>
          <w:tcPr>
            <w:tcW w:w="1723" w:type="dxa"/>
            <w:vAlign w:val="center"/>
          </w:tcPr>
          <w:p w14:paraId="3CC6459C" w14:textId="02206145"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3CB3F395" w:rsidR="00D4323A" w:rsidRPr="00CF2E7C" w:rsidRDefault="00EB3638" w:rsidP="00CF2E7C">
            <w:pPr>
              <w:rPr>
                <w:rFonts w:ascii="Calibri" w:hAnsi="Calibri" w:cs="Calibri"/>
              </w:rPr>
            </w:pPr>
            <w:r>
              <w:rPr>
                <w:rFonts w:ascii="Calibri" w:hAnsi="Calibri" w:cs="Calibri"/>
              </w:rPr>
              <w:t>X</w:t>
            </w:r>
          </w:p>
        </w:tc>
        <w:tc>
          <w:tcPr>
            <w:tcW w:w="1674" w:type="dxa"/>
            <w:vAlign w:val="center"/>
          </w:tcPr>
          <w:p w14:paraId="45D2C527" w14:textId="2D2C7AE3"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49E1341D" w:rsidR="00D4323A" w:rsidRPr="00CF2E7C" w:rsidRDefault="00EB3638" w:rsidP="00CF2E7C">
            <w:pPr>
              <w:rPr>
                <w:rFonts w:ascii="Calibri" w:hAnsi="Calibri" w:cs="Calibri"/>
              </w:rPr>
            </w:pPr>
            <w:r>
              <w:rPr>
                <w:rFonts w:ascii="Calibri" w:hAnsi="Calibri" w:cs="Calibri"/>
              </w:rPr>
              <w:t>X</w:t>
            </w:r>
          </w:p>
        </w:tc>
        <w:tc>
          <w:tcPr>
            <w:tcW w:w="1723" w:type="dxa"/>
            <w:vAlign w:val="center"/>
          </w:tcPr>
          <w:p w14:paraId="0590EE0A" w14:textId="446AF0B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015872DC" w:rsidR="00D4323A" w:rsidRPr="00CF2E7C" w:rsidRDefault="003E4836"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32F5FF4" w:rsidR="00D4323A" w:rsidRPr="00CF2E7C" w:rsidRDefault="003E4836"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0CCD9BEA" w:rsidR="00D4323A" w:rsidRPr="00CF2E7C" w:rsidRDefault="003E4836"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64ED7473" w:rsidR="00D4323A" w:rsidRPr="00CF2E7C" w:rsidRDefault="003E4836"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6C5AC134" w:rsidR="00D4323A" w:rsidRPr="00CF2E7C" w:rsidRDefault="003E4836"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47D99B5E" w:rsidR="00D4323A" w:rsidRPr="00CF2E7C" w:rsidRDefault="00EB3638" w:rsidP="00CF2E7C">
            <w:pPr>
              <w:rPr>
                <w:rFonts w:ascii="Calibri" w:hAnsi="Calibri" w:cs="Calibri"/>
              </w:rPr>
            </w:pPr>
            <w:r>
              <w:rPr>
                <w:rFonts w:ascii="Calibri" w:hAnsi="Calibri" w:cs="Calibri"/>
              </w:rPr>
              <w:t>X</w:t>
            </w:r>
          </w:p>
        </w:tc>
        <w:tc>
          <w:tcPr>
            <w:tcW w:w="1674" w:type="dxa"/>
            <w:vAlign w:val="center"/>
          </w:tcPr>
          <w:p w14:paraId="1BB569F7" w14:textId="42AD44D8" w:rsidR="00D4323A" w:rsidRPr="00CF2E7C" w:rsidRDefault="00D4323A" w:rsidP="00CF2E7C">
            <w:pPr>
              <w:rPr>
                <w:rFonts w:ascii="Calibri" w:hAnsi="Calibri" w:cs="Calibri"/>
              </w:rPr>
            </w:pPr>
          </w:p>
        </w:tc>
        <w:tc>
          <w:tcPr>
            <w:tcW w:w="1723" w:type="dxa"/>
            <w:vAlign w:val="center"/>
          </w:tcPr>
          <w:p w14:paraId="19AEE9B2" w14:textId="2A383C2B"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1F481DE9" w:rsidR="00D4323A" w:rsidRPr="00CF2E7C" w:rsidRDefault="003E4836" w:rsidP="00CF2E7C">
            <w:pPr>
              <w:rPr>
                <w:rFonts w:ascii="Calibri" w:hAnsi="Calibri" w:cs="Calibri"/>
              </w:rPr>
            </w:pPr>
            <w:r>
              <w:rPr>
                <w:rFonts w:ascii="Calibri" w:hAnsi="Calibri" w:cs="Calibri"/>
              </w:rPr>
              <w:t>X</w:t>
            </w: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02F9F38B" w:rsidR="00092534" w:rsidRPr="00370428" w:rsidRDefault="003E4836" w:rsidP="00CF2E7C">
            <w:r w:rsidRPr="00033A1A">
              <w:t>The Carbon Credit Trading Scheme requires "Obligated Entities" to comply with the GHG emissions norms. The list of Obligated Entities is yet to be notified.</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2ECB5000" w:rsidR="00092534" w:rsidRPr="00CF2E7C" w:rsidRDefault="00FC1DE9"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07AB68E5" w:rsidR="00092534" w:rsidRPr="00CF2E7C" w:rsidRDefault="00FC1DE9"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549060B4" w:rsidR="00092534" w:rsidRPr="00CF2E7C" w:rsidRDefault="00FC1DE9" w:rsidP="00CF2E7C">
            <w:pPr>
              <w:rPr>
                <w:rFonts w:ascii="Calibri" w:hAnsi="Calibri" w:cs="Calibri"/>
              </w:rPr>
            </w:pPr>
            <w:r>
              <w:rPr>
                <w:rFonts w:ascii="Calibri" w:hAnsi="Calibri" w:cs="Calibri"/>
              </w:rPr>
              <w:t>X</w:t>
            </w: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E30FB61" w:rsidR="00092534" w:rsidRPr="00CF2E7C" w:rsidRDefault="00FC1DE9"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4686B860" w:rsidR="00092534" w:rsidRPr="00CF2E7C" w:rsidRDefault="00FC1DE9" w:rsidP="00CF2E7C">
            <w:pPr>
              <w:rPr>
                <w:rFonts w:ascii="Calibri" w:hAnsi="Calibri" w:cs="Calibri"/>
              </w:rPr>
            </w:pPr>
            <w:r>
              <w:rPr>
                <w:rFonts w:ascii="Calibri" w:hAnsi="Calibri" w:cs="Calibri"/>
              </w:rPr>
              <w:t>X</w:t>
            </w: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5D35F853" w:rsidR="00092534" w:rsidRPr="00CF2E7C" w:rsidRDefault="00FC1DE9" w:rsidP="00CF2E7C">
            <w:pPr>
              <w:rPr>
                <w:rFonts w:ascii="Calibri" w:hAnsi="Calibri" w:cs="Calibri"/>
              </w:rPr>
            </w:pPr>
            <w:r>
              <w:rPr>
                <w:rFonts w:ascii="Calibri" w:hAnsi="Calibri" w:cs="Calibri"/>
              </w:rPr>
              <w:t>X</w:t>
            </w: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058D4FD9" w:rsidR="00092534" w:rsidRPr="00CF2E7C" w:rsidRDefault="00FC1DE9"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521FF1DE" w:rsidR="00092534" w:rsidRPr="00CF2E7C" w:rsidRDefault="00FC1DE9" w:rsidP="00CF2E7C">
            <w:pPr>
              <w:rPr>
                <w:rFonts w:ascii="Calibri" w:hAnsi="Calibri" w:cs="Calibri"/>
              </w:rPr>
            </w:pPr>
            <w:r>
              <w:rPr>
                <w:rFonts w:ascii="Calibri" w:hAnsi="Calibri" w:cs="Calibri"/>
              </w:rPr>
              <w:t>X</w:t>
            </w: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8756EA1" w:rsidR="00092534" w:rsidRPr="00CF2E7C" w:rsidRDefault="00FC1DE9" w:rsidP="00CF2E7C">
            <w:pPr>
              <w:rPr>
                <w:rFonts w:ascii="Calibri" w:hAnsi="Calibri" w:cs="Calibri"/>
              </w:rPr>
            </w:pPr>
            <w:r>
              <w:rPr>
                <w:rFonts w:ascii="Calibri" w:hAnsi="Calibri" w:cs="Calibri"/>
              </w:rPr>
              <w:t>X</w:t>
            </w:r>
          </w:p>
        </w:tc>
      </w:tr>
      <w:tr w:rsidR="00FC1DE9" w:rsidRPr="00CF2E7C" w14:paraId="65B84C8E" w14:textId="77777777" w:rsidTr="00033A1A">
        <w:trPr>
          <w:trHeight w:val="22"/>
        </w:trPr>
        <w:tc>
          <w:tcPr>
            <w:tcW w:w="1065" w:type="dxa"/>
            <w:vAlign w:val="center"/>
          </w:tcPr>
          <w:p w14:paraId="5167289B" w14:textId="36D4A9D6" w:rsidR="00FC1DE9" w:rsidRPr="00CF2E7C" w:rsidRDefault="00FC1DE9" w:rsidP="00FC1DE9">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FC1DE9" w:rsidRPr="00CF2E7C" w:rsidRDefault="00FC1DE9" w:rsidP="00FC1DE9">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FC1DE9" w:rsidRPr="00CF2E7C" w:rsidRDefault="00FC1DE9" w:rsidP="00FC1DE9">
            <w:pPr>
              <w:rPr>
                <w:rFonts w:ascii="Calibri" w:hAnsi="Calibri" w:cs="Calibri"/>
              </w:rPr>
            </w:pPr>
          </w:p>
        </w:tc>
        <w:tc>
          <w:tcPr>
            <w:tcW w:w="1674" w:type="dxa"/>
            <w:vAlign w:val="center"/>
          </w:tcPr>
          <w:p w14:paraId="2CCC6A3E" w14:textId="77777777" w:rsidR="00FC1DE9" w:rsidRPr="00CF2E7C" w:rsidRDefault="00FC1DE9" w:rsidP="00FC1DE9">
            <w:pPr>
              <w:rPr>
                <w:rFonts w:ascii="Calibri" w:hAnsi="Calibri" w:cs="Calibri"/>
              </w:rPr>
            </w:pPr>
          </w:p>
        </w:tc>
        <w:tc>
          <w:tcPr>
            <w:tcW w:w="1723" w:type="dxa"/>
          </w:tcPr>
          <w:p w14:paraId="39149581" w14:textId="4469CAE0" w:rsidR="00FC1DE9" w:rsidRPr="00CF2E7C" w:rsidRDefault="00FC1DE9" w:rsidP="00FC1DE9">
            <w:pPr>
              <w:rPr>
                <w:rFonts w:ascii="Calibri" w:hAnsi="Calibri" w:cs="Calibri"/>
              </w:rPr>
            </w:pPr>
            <w:r w:rsidRPr="00A77A42">
              <w:rPr>
                <w:rFonts w:ascii="Calibri" w:hAnsi="Calibri" w:cs="Calibri"/>
              </w:rPr>
              <w:t>X</w:t>
            </w:r>
          </w:p>
        </w:tc>
      </w:tr>
      <w:tr w:rsidR="00FC1DE9" w:rsidRPr="00CF2E7C" w14:paraId="02B18A57" w14:textId="77777777" w:rsidTr="00033A1A">
        <w:trPr>
          <w:trHeight w:val="300"/>
        </w:trPr>
        <w:tc>
          <w:tcPr>
            <w:tcW w:w="1065" w:type="dxa"/>
            <w:vAlign w:val="center"/>
          </w:tcPr>
          <w:p w14:paraId="6A5DC37E" w14:textId="352B3B79" w:rsidR="00FC1DE9" w:rsidRPr="00CF2E7C" w:rsidRDefault="00FC1DE9" w:rsidP="00FC1DE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FC1DE9" w:rsidRPr="00CF2E7C" w:rsidRDefault="00FC1DE9" w:rsidP="00FC1DE9">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FC1DE9" w:rsidRPr="00CF2E7C" w:rsidRDefault="00FC1DE9" w:rsidP="00FC1DE9">
            <w:pPr>
              <w:rPr>
                <w:rFonts w:ascii="Calibri" w:hAnsi="Calibri" w:cs="Calibri"/>
              </w:rPr>
            </w:pPr>
          </w:p>
        </w:tc>
        <w:tc>
          <w:tcPr>
            <w:tcW w:w="1674" w:type="dxa"/>
            <w:vAlign w:val="center"/>
          </w:tcPr>
          <w:p w14:paraId="6DFB7727" w14:textId="77777777" w:rsidR="00FC1DE9" w:rsidRPr="00CF2E7C" w:rsidRDefault="00FC1DE9" w:rsidP="00FC1DE9">
            <w:pPr>
              <w:rPr>
                <w:rFonts w:ascii="Calibri" w:hAnsi="Calibri" w:cs="Calibri"/>
              </w:rPr>
            </w:pPr>
          </w:p>
        </w:tc>
        <w:tc>
          <w:tcPr>
            <w:tcW w:w="1723" w:type="dxa"/>
          </w:tcPr>
          <w:p w14:paraId="6316F493" w14:textId="2998D0BD" w:rsidR="00FC1DE9" w:rsidRPr="00CF2E7C" w:rsidRDefault="00FC1DE9" w:rsidP="00FC1DE9">
            <w:pPr>
              <w:rPr>
                <w:rFonts w:ascii="Calibri" w:hAnsi="Calibri" w:cs="Calibri"/>
              </w:rPr>
            </w:pPr>
            <w:r w:rsidRPr="00A77A42">
              <w:rPr>
                <w:rFonts w:ascii="Calibri" w:hAnsi="Calibri" w:cs="Calibri"/>
              </w:rPr>
              <w:t>X</w:t>
            </w:r>
          </w:p>
        </w:tc>
      </w:tr>
      <w:tr w:rsidR="00FC1DE9" w:rsidRPr="00CF2E7C" w14:paraId="60EF0DF1" w14:textId="77777777" w:rsidTr="00033A1A">
        <w:trPr>
          <w:trHeight w:val="300"/>
        </w:trPr>
        <w:tc>
          <w:tcPr>
            <w:tcW w:w="1065" w:type="dxa"/>
            <w:vAlign w:val="center"/>
          </w:tcPr>
          <w:p w14:paraId="7014E466" w14:textId="65DCF265" w:rsidR="00FC1DE9" w:rsidRPr="00CF2E7C" w:rsidRDefault="00FC1DE9" w:rsidP="00FC1DE9">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FC1DE9" w:rsidRPr="00CF2E7C" w:rsidRDefault="00FC1DE9" w:rsidP="00FC1DE9">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FC1DE9" w:rsidRPr="00CF2E7C" w:rsidRDefault="00FC1DE9" w:rsidP="00FC1DE9">
            <w:pPr>
              <w:rPr>
                <w:rFonts w:ascii="Calibri" w:hAnsi="Calibri" w:cs="Calibri"/>
              </w:rPr>
            </w:pPr>
          </w:p>
        </w:tc>
        <w:tc>
          <w:tcPr>
            <w:tcW w:w="1674" w:type="dxa"/>
            <w:vAlign w:val="center"/>
          </w:tcPr>
          <w:p w14:paraId="1CC9B5C8" w14:textId="77777777" w:rsidR="00FC1DE9" w:rsidRPr="00CF2E7C" w:rsidRDefault="00FC1DE9" w:rsidP="00FC1DE9">
            <w:pPr>
              <w:rPr>
                <w:rFonts w:ascii="Calibri" w:hAnsi="Calibri" w:cs="Calibri"/>
              </w:rPr>
            </w:pPr>
          </w:p>
        </w:tc>
        <w:tc>
          <w:tcPr>
            <w:tcW w:w="1723" w:type="dxa"/>
          </w:tcPr>
          <w:p w14:paraId="014F7959" w14:textId="668CA292" w:rsidR="00FC1DE9" w:rsidRPr="00CF2E7C" w:rsidRDefault="00FC1DE9" w:rsidP="00FC1DE9">
            <w:pPr>
              <w:rPr>
                <w:rFonts w:ascii="Calibri" w:hAnsi="Calibri" w:cs="Calibri"/>
              </w:rPr>
            </w:pPr>
            <w:r w:rsidRPr="00A77A42">
              <w:rPr>
                <w:rFonts w:ascii="Calibri" w:hAnsi="Calibri" w:cs="Calibri"/>
              </w:rPr>
              <w:t>X</w:t>
            </w:r>
          </w:p>
        </w:tc>
      </w:tr>
      <w:tr w:rsidR="00FC1DE9" w:rsidRPr="00CF2E7C" w14:paraId="3C3D711E" w14:textId="77777777" w:rsidTr="00033A1A">
        <w:trPr>
          <w:trHeight w:val="300"/>
        </w:trPr>
        <w:tc>
          <w:tcPr>
            <w:tcW w:w="1065" w:type="dxa"/>
            <w:vAlign w:val="center"/>
          </w:tcPr>
          <w:p w14:paraId="4DF6C2BF" w14:textId="445EAF7D" w:rsidR="00FC1DE9" w:rsidRPr="00CF2E7C" w:rsidRDefault="00FC1DE9" w:rsidP="00FC1DE9">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FC1DE9" w:rsidRPr="00CF2E7C" w:rsidRDefault="00FC1DE9" w:rsidP="00FC1DE9">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FC1DE9" w:rsidRPr="00CF2E7C" w:rsidRDefault="00FC1DE9" w:rsidP="00FC1DE9">
            <w:pPr>
              <w:rPr>
                <w:rFonts w:ascii="Calibri" w:hAnsi="Calibri" w:cs="Calibri"/>
              </w:rPr>
            </w:pPr>
          </w:p>
        </w:tc>
        <w:tc>
          <w:tcPr>
            <w:tcW w:w="1674" w:type="dxa"/>
            <w:vAlign w:val="center"/>
          </w:tcPr>
          <w:p w14:paraId="3856D881" w14:textId="77777777" w:rsidR="00FC1DE9" w:rsidRPr="00CF2E7C" w:rsidRDefault="00FC1DE9" w:rsidP="00FC1DE9">
            <w:pPr>
              <w:rPr>
                <w:rFonts w:ascii="Calibri" w:hAnsi="Calibri" w:cs="Calibri"/>
              </w:rPr>
            </w:pPr>
          </w:p>
        </w:tc>
        <w:tc>
          <w:tcPr>
            <w:tcW w:w="1723" w:type="dxa"/>
          </w:tcPr>
          <w:p w14:paraId="76BC98C3" w14:textId="3C45B8EB" w:rsidR="00FC1DE9" w:rsidRPr="00CF2E7C" w:rsidRDefault="00FC1DE9" w:rsidP="00FC1DE9">
            <w:pPr>
              <w:rPr>
                <w:rFonts w:ascii="Calibri" w:hAnsi="Calibri" w:cs="Calibri"/>
              </w:rPr>
            </w:pPr>
            <w:r w:rsidRPr="00A77A42">
              <w:rPr>
                <w:rFonts w:ascii="Calibri" w:hAnsi="Calibri" w:cs="Calibri"/>
              </w:rPr>
              <w:t>X</w:t>
            </w:r>
          </w:p>
        </w:tc>
      </w:tr>
      <w:tr w:rsidR="00FC1DE9" w:rsidRPr="00CF2E7C" w14:paraId="61BE2C5D" w14:textId="77777777" w:rsidTr="00033A1A">
        <w:trPr>
          <w:trHeight w:val="300"/>
        </w:trPr>
        <w:tc>
          <w:tcPr>
            <w:tcW w:w="1065" w:type="dxa"/>
            <w:vAlign w:val="center"/>
          </w:tcPr>
          <w:p w14:paraId="1C29648B" w14:textId="4E6597D5" w:rsidR="00FC1DE9" w:rsidRPr="00CF2E7C" w:rsidRDefault="00FC1DE9" w:rsidP="00FC1DE9">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FC1DE9" w:rsidRPr="00CF2E7C" w:rsidRDefault="00FC1DE9" w:rsidP="00FC1DE9">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FC1DE9" w:rsidRPr="00CF2E7C" w:rsidRDefault="00FC1DE9" w:rsidP="00FC1DE9">
            <w:pPr>
              <w:rPr>
                <w:rFonts w:ascii="Calibri" w:hAnsi="Calibri" w:cs="Calibri"/>
              </w:rPr>
            </w:pPr>
          </w:p>
        </w:tc>
        <w:tc>
          <w:tcPr>
            <w:tcW w:w="1674" w:type="dxa"/>
            <w:vAlign w:val="center"/>
          </w:tcPr>
          <w:p w14:paraId="3C79DD1F" w14:textId="77777777" w:rsidR="00FC1DE9" w:rsidRPr="00CF2E7C" w:rsidRDefault="00FC1DE9" w:rsidP="00FC1DE9">
            <w:pPr>
              <w:rPr>
                <w:rFonts w:ascii="Calibri" w:hAnsi="Calibri" w:cs="Calibri"/>
              </w:rPr>
            </w:pPr>
          </w:p>
        </w:tc>
        <w:tc>
          <w:tcPr>
            <w:tcW w:w="1723" w:type="dxa"/>
          </w:tcPr>
          <w:p w14:paraId="2A24D2F8" w14:textId="59D3EF34" w:rsidR="00FC1DE9" w:rsidRPr="00CF2E7C" w:rsidRDefault="00FC1DE9" w:rsidP="00FC1DE9">
            <w:pPr>
              <w:rPr>
                <w:rFonts w:ascii="Calibri" w:hAnsi="Calibri" w:cs="Calibri"/>
              </w:rPr>
            </w:pPr>
            <w:r w:rsidRPr="00A77A42">
              <w:rPr>
                <w:rFonts w:ascii="Calibri" w:hAnsi="Calibri" w:cs="Calibri"/>
              </w:rPr>
              <w:t>X</w:t>
            </w:r>
          </w:p>
        </w:tc>
      </w:tr>
      <w:tr w:rsidR="00FC1DE9" w:rsidRPr="00CF2E7C" w14:paraId="63958F64" w14:textId="77777777" w:rsidTr="00033A1A">
        <w:trPr>
          <w:trHeight w:val="300"/>
        </w:trPr>
        <w:tc>
          <w:tcPr>
            <w:tcW w:w="1065" w:type="dxa"/>
            <w:vAlign w:val="center"/>
          </w:tcPr>
          <w:p w14:paraId="57B8D56F" w14:textId="57AFCC30" w:rsidR="00FC1DE9" w:rsidRPr="00CF2E7C" w:rsidRDefault="00FC1DE9" w:rsidP="00FC1DE9">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FC1DE9" w:rsidRPr="00CF2E7C" w:rsidRDefault="00FC1DE9" w:rsidP="00FC1DE9">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FC1DE9" w:rsidRPr="00CF2E7C" w:rsidRDefault="00FC1DE9" w:rsidP="00FC1DE9">
            <w:pPr>
              <w:rPr>
                <w:rFonts w:ascii="Calibri" w:hAnsi="Calibri" w:cs="Calibri"/>
              </w:rPr>
            </w:pPr>
          </w:p>
        </w:tc>
        <w:tc>
          <w:tcPr>
            <w:tcW w:w="1674" w:type="dxa"/>
            <w:vAlign w:val="center"/>
          </w:tcPr>
          <w:p w14:paraId="01F43283" w14:textId="77777777" w:rsidR="00FC1DE9" w:rsidRPr="00CF2E7C" w:rsidRDefault="00FC1DE9" w:rsidP="00FC1DE9">
            <w:pPr>
              <w:rPr>
                <w:rFonts w:ascii="Calibri" w:hAnsi="Calibri" w:cs="Calibri"/>
              </w:rPr>
            </w:pPr>
          </w:p>
        </w:tc>
        <w:tc>
          <w:tcPr>
            <w:tcW w:w="1723" w:type="dxa"/>
          </w:tcPr>
          <w:p w14:paraId="1042892F" w14:textId="328C83F2" w:rsidR="00FC1DE9" w:rsidRPr="00CF2E7C" w:rsidRDefault="00FC1DE9" w:rsidP="00FC1DE9">
            <w:pPr>
              <w:rPr>
                <w:rFonts w:ascii="Calibri" w:hAnsi="Calibri" w:cs="Calibri"/>
              </w:rPr>
            </w:pPr>
            <w:r w:rsidRPr="00A77A42">
              <w:rPr>
                <w:rFonts w:ascii="Calibri" w:hAnsi="Calibri" w:cs="Calibri"/>
              </w:rPr>
              <w:t>X</w:t>
            </w:r>
          </w:p>
        </w:tc>
      </w:tr>
      <w:tr w:rsidR="00FC1DE9" w:rsidRPr="00CF2E7C" w14:paraId="6499E61A" w14:textId="77777777" w:rsidTr="00033A1A">
        <w:trPr>
          <w:trHeight w:val="300"/>
        </w:trPr>
        <w:tc>
          <w:tcPr>
            <w:tcW w:w="1065" w:type="dxa"/>
            <w:vAlign w:val="center"/>
          </w:tcPr>
          <w:p w14:paraId="7BAACC76" w14:textId="40A1EC1B" w:rsidR="00FC1DE9" w:rsidRPr="00CF2E7C" w:rsidRDefault="00FC1DE9" w:rsidP="00FC1DE9">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FC1DE9" w:rsidRPr="00CF2E7C" w:rsidRDefault="00FC1DE9" w:rsidP="00FC1DE9">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FC1DE9" w:rsidRPr="00CF2E7C" w:rsidRDefault="00FC1DE9" w:rsidP="00FC1DE9">
            <w:pPr>
              <w:rPr>
                <w:rFonts w:ascii="Calibri" w:hAnsi="Calibri" w:cs="Calibri"/>
              </w:rPr>
            </w:pPr>
          </w:p>
        </w:tc>
        <w:tc>
          <w:tcPr>
            <w:tcW w:w="1674" w:type="dxa"/>
            <w:vAlign w:val="center"/>
          </w:tcPr>
          <w:p w14:paraId="11414A1B" w14:textId="77777777" w:rsidR="00FC1DE9" w:rsidRPr="00CF2E7C" w:rsidRDefault="00FC1DE9" w:rsidP="00FC1DE9">
            <w:pPr>
              <w:rPr>
                <w:rFonts w:ascii="Calibri" w:hAnsi="Calibri" w:cs="Calibri"/>
              </w:rPr>
            </w:pPr>
          </w:p>
        </w:tc>
        <w:tc>
          <w:tcPr>
            <w:tcW w:w="1723" w:type="dxa"/>
          </w:tcPr>
          <w:p w14:paraId="10C4AFD3" w14:textId="53AE9D86" w:rsidR="00FC1DE9" w:rsidRPr="00CF2E7C" w:rsidRDefault="00FC1DE9" w:rsidP="00FC1DE9">
            <w:pPr>
              <w:rPr>
                <w:rFonts w:ascii="Calibri" w:hAnsi="Calibri" w:cs="Calibri"/>
              </w:rPr>
            </w:pPr>
            <w:r w:rsidRPr="00A77A42">
              <w:rPr>
                <w:rFonts w:ascii="Calibri" w:hAnsi="Calibri" w:cs="Calibri"/>
              </w:rPr>
              <w:t>X</w:t>
            </w:r>
          </w:p>
        </w:tc>
      </w:tr>
      <w:tr w:rsidR="00FC1DE9" w:rsidRPr="00CF2E7C" w14:paraId="25D09AE2" w14:textId="77777777" w:rsidTr="00033A1A">
        <w:trPr>
          <w:trHeight w:val="300"/>
        </w:trPr>
        <w:tc>
          <w:tcPr>
            <w:tcW w:w="1065" w:type="dxa"/>
            <w:vAlign w:val="center"/>
          </w:tcPr>
          <w:p w14:paraId="7F1D52FA" w14:textId="4EAB45BD" w:rsidR="00FC1DE9" w:rsidRPr="00CF2E7C" w:rsidRDefault="00FC1DE9" w:rsidP="00FC1DE9">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FC1DE9" w:rsidRPr="00CF2E7C" w:rsidRDefault="00FC1DE9" w:rsidP="00FC1DE9">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FC1DE9" w:rsidRPr="00CF2E7C" w:rsidRDefault="00FC1DE9" w:rsidP="00FC1DE9">
            <w:pPr>
              <w:rPr>
                <w:rFonts w:ascii="Calibri" w:hAnsi="Calibri" w:cs="Calibri"/>
              </w:rPr>
            </w:pPr>
          </w:p>
        </w:tc>
        <w:tc>
          <w:tcPr>
            <w:tcW w:w="1674" w:type="dxa"/>
            <w:vAlign w:val="center"/>
          </w:tcPr>
          <w:p w14:paraId="4FF9552D" w14:textId="77777777" w:rsidR="00FC1DE9" w:rsidRPr="00CF2E7C" w:rsidRDefault="00FC1DE9" w:rsidP="00FC1DE9">
            <w:pPr>
              <w:rPr>
                <w:rFonts w:ascii="Calibri" w:hAnsi="Calibri" w:cs="Calibri"/>
              </w:rPr>
            </w:pPr>
          </w:p>
        </w:tc>
        <w:tc>
          <w:tcPr>
            <w:tcW w:w="1723" w:type="dxa"/>
          </w:tcPr>
          <w:p w14:paraId="2B458A1F" w14:textId="6CDE09E0" w:rsidR="00FC1DE9" w:rsidRPr="00CF2E7C" w:rsidRDefault="00FC1DE9" w:rsidP="00FC1DE9">
            <w:pPr>
              <w:rPr>
                <w:rFonts w:ascii="Calibri" w:hAnsi="Calibri" w:cs="Calibri"/>
              </w:rPr>
            </w:pPr>
            <w:r w:rsidRPr="00A77A42">
              <w:rPr>
                <w:rFonts w:ascii="Calibri" w:hAnsi="Calibri" w:cs="Calibri"/>
              </w:rPr>
              <w:t>X</w:t>
            </w:r>
          </w:p>
        </w:tc>
      </w:tr>
      <w:tr w:rsidR="00FC1DE9" w:rsidRPr="00CF2E7C" w14:paraId="649A430C" w14:textId="77777777" w:rsidTr="00033A1A">
        <w:trPr>
          <w:trHeight w:val="300"/>
        </w:trPr>
        <w:tc>
          <w:tcPr>
            <w:tcW w:w="1065" w:type="dxa"/>
            <w:vAlign w:val="center"/>
          </w:tcPr>
          <w:p w14:paraId="4ED29EDA" w14:textId="466BF028" w:rsidR="00FC1DE9" w:rsidRPr="00CF2E7C" w:rsidRDefault="00FC1DE9" w:rsidP="00FC1DE9">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FC1DE9" w:rsidRPr="00CF2E7C" w:rsidRDefault="00FC1DE9" w:rsidP="00FC1DE9">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FC1DE9" w:rsidRPr="00CF2E7C" w:rsidRDefault="00FC1DE9" w:rsidP="00FC1DE9">
            <w:pPr>
              <w:rPr>
                <w:rFonts w:ascii="Calibri" w:hAnsi="Calibri" w:cs="Calibri"/>
              </w:rPr>
            </w:pPr>
          </w:p>
        </w:tc>
        <w:tc>
          <w:tcPr>
            <w:tcW w:w="1674" w:type="dxa"/>
            <w:vAlign w:val="center"/>
          </w:tcPr>
          <w:p w14:paraId="6A93774C" w14:textId="77777777" w:rsidR="00FC1DE9" w:rsidRPr="00CF2E7C" w:rsidRDefault="00FC1DE9" w:rsidP="00FC1DE9">
            <w:pPr>
              <w:rPr>
                <w:rFonts w:ascii="Calibri" w:hAnsi="Calibri" w:cs="Calibri"/>
              </w:rPr>
            </w:pPr>
          </w:p>
        </w:tc>
        <w:tc>
          <w:tcPr>
            <w:tcW w:w="1723" w:type="dxa"/>
          </w:tcPr>
          <w:p w14:paraId="36548C61" w14:textId="1D2DBB4E" w:rsidR="00FC1DE9" w:rsidRPr="00CF2E7C" w:rsidRDefault="00FC1DE9" w:rsidP="00FC1DE9">
            <w:pPr>
              <w:rPr>
                <w:rFonts w:ascii="Calibri" w:hAnsi="Calibri" w:cs="Calibri"/>
              </w:rPr>
            </w:pPr>
            <w:r w:rsidRPr="00A77A42">
              <w:rPr>
                <w:rFonts w:ascii="Calibri" w:hAnsi="Calibri" w:cs="Calibri"/>
              </w:rPr>
              <w:t>X</w:t>
            </w:r>
          </w:p>
        </w:tc>
      </w:tr>
      <w:tr w:rsidR="00FC1DE9" w:rsidRPr="00CF2E7C" w14:paraId="7119A346" w14:textId="77777777" w:rsidTr="00033A1A">
        <w:trPr>
          <w:trHeight w:val="300"/>
        </w:trPr>
        <w:tc>
          <w:tcPr>
            <w:tcW w:w="1065" w:type="dxa"/>
            <w:vAlign w:val="center"/>
          </w:tcPr>
          <w:p w14:paraId="0D0B0D16" w14:textId="46BC8427" w:rsidR="00FC1DE9" w:rsidRPr="00CF2E7C" w:rsidRDefault="00FC1DE9" w:rsidP="00FC1DE9">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FC1DE9" w:rsidRPr="00CF2E7C" w:rsidRDefault="00FC1DE9" w:rsidP="00FC1DE9">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FC1DE9" w:rsidRPr="00CF2E7C" w:rsidRDefault="00FC1DE9" w:rsidP="00FC1DE9">
            <w:pPr>
              <w:rPr>
                <w:rFonts w:ascii="Calibri" w:hAnsi="Calibri" w:cs="Calibri"/>
              </w:rPr>
            </w:pPr>
          </w:p>
        </w:tc>
        <w:tc>
          <w:tcPr>
            <w:tcW w:w="1674" w:type="dxa"/>
            <w:vAlign w:val="center"/>
          </w:tcPr>
          <w:p w14:paraId="7D6F70A7" w14:textId="77777777" w:rsidR="00FC1DE9" w:rsidRPr="00CF2E7C" w:rsidRDefault="00FC1DE9" w:rsidP="00FC1DE9">
            <w:pPr>
              <w:rPr>
                <w:rFonts w:ascii="Calibri" w:hAnsi="Calibri" w:cs="Calibri"/>
              </w:rPr>
            </w:pPr>
          </w:p>
        </w:tc>
        <w:tc>
          <w:tcPr>
            <w:tcW w:w="1723" w:type="dxa"/>
          </w:tcPr>
          <w:p w14:paraId="3741C46F" w14:textId="7E776C95" w:rsidR="00FC1DE9" w:rsidRPr="00CF2E7C" w:rsidRDefault="00FC1DE9" w:rsidP="00FC1DE9">
            <w:pPr>
              <w:rPr>
                <w:rFonts w:ascii="Calibri" w:hAnsi="Calibri" w:cs="Calibri"/>
              </w:rPr>
            </w:pPr>
            <w:r w:rsidRPr="00A77A42">
              <w:rPr>
                <w:rFonts w:ascii="Calibri" w:hAnsi="Calibri" w:cs="Calibri"/>
              </w:rPr>
              <w:t>X</w:t>
            </w:r>
          </w:p>
        </w:tc>
      </w:tr>
      <w:tr w:rsidR="00FC1DE9" w:rsidRPr="00CF2E7C" w14:paraId="72E640B8" w14:textId="77777777" w:rsidTr="00033A1A">
        <w:trPr>
          <w:trHeight w:val="300"/>
        </w:trPr>
        <w:tc>
          <w:tcPr>
            <w:tcW w:w="1065" w:type="dxa"/>
            <w:vAlign w:val="center"/>
          </w:tcPr>
          <w:p w14:paraId="7F99A32C" w14:textId="2CAC3F0F" w:rsidR="00FC1DE9" w:rsidRPr="00CF2E7C" w:rsidRDefault="00FC1DE9" w:rsidP="00FC1DE9">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FC1DE9" w:rsidRPr="00CF2E7C" w:rsidRDefault="00FC1DE9" w:rsidP="00FC1DE9">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FC1DE9" w:rsidRPr="00CF2E7C" w:rsidRDefault="00FC1DE9" w:rsidP="00FC1DE9">
            <w:pPr>
              <w:rPr>
                <w:rFonts w:ascii="Calibri" w:hAnsi="Calibri" w:cs="Calibri"/>
              </w:rPr>
            </w:pPr>
          </w:p>
        </w:tc>
        <w:tc>
          <w:tcPr>
            <w:tcW w:w="1674" w:type="dxa"/>
            <w:vAlign w:val="center"/>
          </w:tcPr>
          <w:p w14:paraId="3EED072C" w14:textId="77777777" w:rsidR="00FC1DE9" w:rsidRPr="00CF2E7C" w:rsidRDefault="00FC1DE9" w:rsidP="00FC1DE9">
            <w:pPr>
              <w:rPr>
                <w:rFonts w:ascii="Calibri" w:hAnsi="Calibri" w:cs="Calibri"/>
              </w:rPr>
            </w:pPr>
          </w:p>
        </w:tc>
        <w:tc>
          <w:tcPr>
            <w:tcW w:w="1723" w:type="dxa"/>
          </w:tcPr>
          <w:p w14:paraId="2638FA47" w14:textId="468D9ABF" w:rsidR="00FC1DE9" w:rsidRPr="00CF2E7C" w:rsidRDefault="00FC1DE9" w:rsidP="00FC1DE9">
            <w:pPr>
              <w:rPr>
                <w:rFonts w:ascii="Calibri" w:hAnsi="Calibri" w:cs="Calibri"/>
              </w:rPr>
            </w:pPr>
            <w:r w:rsidRPr="00A77A42">
              <w:rPr>
                <w:rFonts w:ascii="Calibri" w:hAnsi="Calibri" w:cs="Calibri"/>
              </w:rPr>
              <w:t>X</w:t>
            </w:r>
          </w:p>
        </w:tc>
      </w:tr>
      <w:tr w:rsidR="00FC1DE9" w:rsidRPr="00CF2E7C" w14:paraId="323ABB7B" w14:textId="77777777" w:rsidTr="00033A1A">
        <w:trPr>
          <w:trHeight w:val="300"/>
        </w:trPr>
        <w:tc>
          <w:tcPr>
            <w:tcW w:w="1065" w:type="dxa"/>
            <w:vAlign w:val="center"/>
          </w:tcPr>
          <w:p w14:paraId="064DC543" w14:textId="077A8FCC" w:rsidR="00FC1DE9" w:rsidRPr="00CF2E7C" w:rsidRDefault="00FC1DE9" w:rsidP="00FC1DE9">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FC1DE9" w:rsidRPr="00CF2E7C" w:rsidRDefault="00FC1DE9" w:rsidP="00FC1DE9">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FC1DE9" w:rsidRPr="00CF2E7C" w:rsidRDefault="00FC1DE9" w:rsidP="00FC1DE9">
            <w:pPr>
              <w:rPr>
                <w:rFonts w:ascii="Calibri" w:hAnsi="Calibri" w:cs="Calibri"/>
              </w:rPr>
            </w:pPr>
          </w:p>
        </w:tc>
        <w:tc>
          <w:tcPr>
            <w:tcW w:w="1674" w:type="dxa"/>
            <w:vAlign w:val="center"/>
          </w:tcPr>
          <w:p w14:paraId="54E47F91" w14:textId="77777777" w:rsidR="00FC1DE9" w:rsidRPr="00CF2E7C" w:rsidRDefault="00FC1DE9" w:rsidP="00FC1DE9">
            <w:pPr>
              <w:rPr>
                <w:rFonts w:ascii="Calibri" w:hAnsi="Calibri" w:cs="Calibri"/>
              </w:rPr>
            </w:pPr>
          </w:p>
        </w:tc>
        <w:tc>
          <w:tcPr>
            <w:tcW w:w="1723" w:type="dxa"/>
          </w:tcPr>
          <w:p w14:paraId="5CFEB38B" w14:textId="41766C93" w:rsidR="00FC1DE9" w:rsidRPr="00CF2E7C" w:rsidRDefault="00FC1DE9" w:rsidP="00FC1DE9">
            <w:pPr>
              <w:rPr>
                <w:rFonts w:ascii="Calibri" w:hAnsi="Calibri" w:cs="Calibri"/>
              </w:rPr>
            </w:pPr>
            <w:r w:rsidRPr="00A77A42">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5ACEBDD7" w:rsidR="00092534" w:rsidRPr="00CF2E7C" w:rsidRDefault="00092534" w:rsidP="00CF2E7C">
            <w:pPr>
              <w:rPr>
                <w:rFonts w:ascii="Calibri" w:hAnsi="Calibri" w:cs="Calibri"/>
              </w:rPr>
            </w:pPr>
          </w:p>
        </w:tc>
        <w:tc>
          <w:tcPr>
            <w:tcW w:w="1674" w:type="dxa"/>
            <w:vAlign w:val="center"/>
          </w:tcPr>
          <w:p w14:paraId="467CF02B" w14:textId="666146FF" w:rsidR="00092534" w:rsidRPr="00CF2E7C" w:rsidRDefault="00540A7C" w:rsidP="00CF2E7C">
            <w:pPr>
              <w:rPr>
                <w:rFonts w:ascii="Calibri" w:hAnsi="Calibri" w:cs="Calibri"/>
              </w:rPr>
            </w:pPr>
            <w:r>
              <w:rPr>
                <w:rFonts w:ascii="Calibri" w:hAnsi="Calibri" w:cs="Calibri"/>
              </w:rPr>
              <w:t>X</w:t>
            </w:r>
          </w:p>
        </w:tc>
        <w:tc>
          <w:tcPr>
            <w:tcW w:w="1723" w:type="dxa"/>
            <w:vAlign w:val="center"/>
          </w:tcPr>
          <w:p w14:paraId="42166BF3" w14:textId="59196F5C"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30B242DC" w:rsidR="00092534" w:rsidRPr="00CF2E7C" w:rsidRDefault="00540A7C" w:rsidP="00033A1A">
            <w:pPr>
              <w:jc w:val="both"/>
              <w:rPr>
                <w:rFonts w:ascii="Calibri" w:hAnsi="Calibri" w:cs="Calibri"/>
              </w:rPr>
            </w:pPr>
            <w:r w:rsidRPr="00540A7C">
              <w:rPr>
                <w:rFonts w:ascii="Calibri" w:hAnsi="Calibri" w:cs="Calibri"/>
              </w:rPr>
              <w:t>Fugitive Emissions, Solvent Use, and Carbon Capture Utilisation and Storage (CCUS) and other removals. These are activities that non-obligated entities can undertake voluntarily to generate carbon credits.</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033A1A">
        <w:trPr>
          <w:trHeight w:val="641"/>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45FE57C3" w14:textId="4A3DA9A5" w:rsidR="00092534" w:rsidRDefault="009B5EA7" w:rsidP="009B5EA7">
            <w:pPr>
              <w:jc w:val="both"/>
              <w:rPr>
                <w:rFonts w:ascii="Calibri" w:hAnsi="Calibri" w:cs="Calibri"/>
              </w:rPr>
            </w:pPr>
            <w:r>
              <w:rPr>
                <w:rFonts w:ascii="Calibri" w:hAnsi="Calibri" w:cs="Calibri"/>
              </w:rPr>
              <w:t>The policy tool sets up a framework for both mandatory compliance and voluntary offset activities.</w:t>
            </w:r>
          </w:p>
          <w:p w14:paraId="46F405C4" w14:textId="607FE6B2" w:rsidR="009B5EA7" w:rsidRDefault="009B5EA7" w:rsidP="009B5EA7">
            <w:pPr>
              <w:jc w:val="both"/>
              <w:rPr>
                <w:rFonts w:ascii="Calibri" w:hAnsi="Calibri" w:cs="Calibri"/>
              </w:rPr>
            </w:pPr>
            <w:r>
              <w:rPr>
                <w:rFonts w:ascii="Calibri" w:hAnsi="Calibri" w:cs="Calibri"/>
              </w:rPr>
              <w:t>• Obligated Entities: These are energy-intensive industries and establishments that must comply with GHG emission intensity targets. The sectors for compliance are Aluminium, Cement, Chlor-Alkali, Fertiliser, Iron and Steel, Petrochemical, Petroleum Refinery, Pulp and Paper, and Textile.</w:t>
            </w:r>
          </w:p>
          <w:p w14:paraId="2894CDCA" w14:textId="1D47958B" w:rsidR="009B5EA7" w:rsidRPr="00CF2E7C" w:rsidRDefault="009B5EA7" w:rsidP="00033A1A">
            <w:pPr>
              <w:jc w:val="both"/>
              <w:rPr>
                <w:rFonts w:ascii="Calibri" w:hAnsi="Calibri" w:cs="Calibri"/>
              </w:rPr>
            </w:pPr>
            <w:r>
              <w:rPr>
                <w:rFonts w:ascii="Calibri" w:hAnsi="Calibri" w:cs="Calibri"/>
              </w:rPr>
              <w:t xml:space="preserve">• Non-Obligated Entities: Private companies, state-owned companies, and not-for-profit organisations can voluntarily participate in the Offset Mechanism by registering projects that reduce or remove GHG emissions for Carbon Credit Certificates. Offset activities are broader, </w:t>
            </w:r>
            <w:r>
              <w:rPr>
                <w:rFonts w:ascii="Calibri" w:hAnsi="Calibri" w:cs="Calibri"/>
              </w:rPr>
              <w:lastRenderedPageBreak/>
              <w:t xml:space="preserve">covering Energy, Industries, Waste handling and disposal, Agriculture, Forestry, Transport, Construction, Fugitive Emissions, Solvent use, and Carbon Capture Utilisation and Storage. </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CD0634"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5A5EB202" w:rsidR="00092534" w:rsidRPr="00CF2E7C" w:rsidRDefault="003E4836" w:rsidP="00033A1A">
            <w:pPr>
              <w:jc w:val="both"/>
              <w:rPr>
                <w:rFonts w:ascii="Calibri" w:hAnsi="Calibri" w:cs="Calibri"/>
              </w:rPr>
            </w:pPr>
            <w:r>
              <w:t xml:space="preserve">Obligated entities have to comply with the Scheme. The list of Obligated Entities is yet to be </w:t>
            </w:r>
            <w:r w:rsidR="00AE4384">
              <w:t xml:space="preserve">officially </w:t>
            </w:r>
            <w:r>
              <w:t>notified.</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0A356219" w:rsidR="00092534" w:rsidRPr="00CF2E7C" w:rsidRDefault="003E4836"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lastRenderedPageBreak/>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4DDF2189" w:rsidR="00DB1E72" w:rsidRPr="00CF2E7C" w:rsidRDefault="003E4836"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5030641A" w:rsidR="00DB1E72" w:rsidRPr="00370428" w:rsidRDefault="003E4836" w:rsidP="00033A1A">
            <w:pPr>
              <w:jc w:val="both"/>
            </w:pPr>
            <w:r w:rsidRPr="00033A1A">
              <w:t>An obligated entity failing to meet the target GHG emission intensity in a compliance year must surrender Carbon Credit Certificates (CCC). Should the entity lack the necessary certificates for surrender, it must purchase additional CCCs. In case of the CCC to be surrendered, the obligated entities may surrender the banked CCCs or purchase the CCC to comply with the GHG emission intensity targets in each compliance year. [Para 11(7) of the Scheme read with paras 3 (5) and 3(6) of Detailed Procedure].</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3B0DEC81" w:rsidR="00092534" w:rsidRPr="00CF2E7C" w:rsidRDefault="00AE4384" w:rsidP="00CF2E7C">
            <w:pPr>
              <w:rPr>
                <w:rFonts w:ascii="Calibri" w:hAnsi="Calibri" w:cs="Calibri"/>
              </w:rPr>
            </w:pPr>
            <w:r>
              <w:rPr>
                <w:rFonts w:ascii="Calibri" w:hAnsi="Calibri" w:cs="Calibri"/>
              </w:rPr>
              <w:t>X</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69762F02" w14:textId="660BD113" w:rsidR="00EE5826" w:rsidRDefault="00AE4384" w:rsidP="00033A1A">
            <w:pPr>
              <w:pStyle w:val="ListParagraph"/>
              <w:numPr>
                <w:ilvl w:val="0"/>
                <w:numId w:val="52"/>
              </w:numPr>
              <w:jc w:val="both"/>
              <w:rPr>
                <w:rFonts w:ascii="Calibri" w:hAnsi="Calibri" w:cs="Calibri"/>
              </w:rPr>
            </w:pPr>
            <w:r w:rsidRPr="00033A1A">
              <w:rPr>
                <w:rFonts w:ascii="Calibri" w:hAnsi="Calibri" w:cs="Calibri"/>
              </w:rPr>
              <w:t>‘</w:t>
            </w:r>
            <w:hyperlink r:id="rId23" w:history="1">
              <w:r w:rsidRPr="00033A1A">
                <w:rPr>
                  <w:rStyle w:val="Hyperlink"/>
                  <w:rFonts w:ascii="Calibri" w:hAnsi="Calibri" w:cs="Calibri"/>
                </w:rPr>
                <w:t>Detailed Procedure for Offset Mechanism under CCTS’ was published in July 2024, with Version 1.0 effective from March 27, 2025</w:t>
              </w:r>
            </w:hyperlink>
            <w:r w:rsidRPr="00033A1A">
              <w:rPr>
                <w:rFonts w:ascii="Calibri" w:hAnsi="Calibri" w:cs="Calibri"/>
              </w:rPr>
              <w:t xml:space="preserve">. This document outlines the project cycle for non-obligated entities, covering account registration, project design, validation, monitoring, verification, and the issuance of Carbon Credit Certificates. </w:t>
            </w:r>
          </w:p>
          <w:p w14:paraId="4E9BC062" w14:textId="0D5137EF" w:rsidR="00092534" w:rsidRPr="00033A1A" w:rsidRDefault="00EB3C6C" w:rsidP="00033A1A">
            <w:pPr>
              <w:pStyle w:val="ListParagraph"/>
              <w:numPr>
                <w:ilvl w:val="0"/>
                <w:numId w:val="52"/>
              </w:numPr>
              <w:jc w:val="both"/>
              <w:rPr>
                <w:rFonts w:ascii="Calibri" w:hAnsi="Calibri" w:cs="Calibri"/>
              </w:rPr>
            </w:pPr>
            <w:hyperlink r:id="rId24" w:history="1">
              <w:r w:rsidR="00AE4384" w:rsidRPr="00033A1A">
                <w:rPr>
                  <w:rStyle w:val="Hyperlink"/>
                  <w:rFonts w:ascii="Calibri" w:hAnsi="Calibri" w:cs="Calibri"/>
                </w:rPr>
                <w:t>Office Memorandum from September 2024</w:t>
              </w:r>
            </w:hyperlink>
            <w:r w:rsidR="00AE4384" w:rsidRPr="00033A1A">
              <w:rPr>
                <w:rFonts w:ascii="Calibri" w:hAnsi="Calibri" w:cs="Calibri"/>
              </w:rPr>
              <w:t xml:space="preserve"> lists approved sectors under the Offset Mechanism by the Central Government, further defining the scope for voluntary activities.</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3E813B07" w:rsidR="00092534" w:rsidRPr="00CF2E7C" w:rsidRDefault="00936DE8"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lastRenderedPageBreak/>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2D2CE8FB" w:rsidR="00092534" w:rsidRPr="00CF2E7C" w:rsidRDefault="00936DE8"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5ADE6E33" w:rsidR="00D46B07" w:rsidRPr="00CF2E7C" w:rsidRDefault="00B43A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6E471432" w:rsidR="00D46B07" w:rsidRPr="00CF2E7C" w:rsidRDefault="00B43A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55583034" w:rsidR="00D46B07" w:rsidRPr="00CF2E7C" w:rsidRDefault="00B43A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58C9833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lastRenderedPageBreak/>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5B81082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B43AA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2F2E292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B43AA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4F349C4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B43AA0">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2A41969E" w:rsidR="00D46B07" w:rsidRPr="00CF2E7C" w:rsidRDefault="00B43A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00B36C7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02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353B0C7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3750">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6B8ED9F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3750">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00E2306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3750">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19B7312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63750">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360C24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63750">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339204" w14:textId="0D259EA6" w:rsidR="00702413" w:rsidRDefault="00702413" w:rsidP="00B43AA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AA0">
              <w:rPr>
                <w:rFonts w:ascii="Calibri" w:eastAsia="Times New Roman" w:hAnsi="Calibri" w:cs="Calibri"/>
                <w:kern w:val="0"/>
                <w:lang w:eastAsia="en-GB"/>
                <w14:ligatures w14:val="none"/>
              </w:rPr>
              <w:t>The policy tool at Para 6</w:t>
            </w:r>
            <w:r w:rsidR="0007342D">
              <w:rPr>
                <w:rFonts w:ascii="Calibri" w:eastAsia="Times New Roman" w:hAnsi="Calibri" w:cs="Calibri"/>
                <w:kern w:val="0"/>
                <w:lang w:eastAsia="en-GB"/>
                <w14:ligatures w14:val="none"/>
              </w:rPr>
              <w:t xml:space="preserve"> (Carbon Credit Trading Scheme, 2023)</w:t>
            </w:r>
            <w:r w:rsidR="00B43AA0">
              <w:rPr>
                <w:rFonts w:ascii="Calibri" w:eastAsia="Times New Roman" w:hAnsi="Calibri" w:cs="Calibri"/>
                <w:kern w:val="0"/>
                <w:lang w:eastAsia="en-GB"/>
                <w14:ligatures w14:val="none"/>
              </w:rPr>
              <w:t>, requires a registry to track carbon credits. The Grid Controller of India Limited is the designated Registry for the Indian Carbon Market (ICM).</w:t>
            </w:r>
          </w:p>
          <w:p w14:paraId="7E7B19A1" w14:textId="77777777" w:rsidR="00B43AA0" w:rsidRDefault="00B43AA0" w:rsidP="00B43A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Registry’s functions include:</w:t>
            </w:r>
          </w:p>
          <w:p w14:paraId="2EBAD1F9" w14:textId="77777777" w:rsidR="00B43AA0" w:rsidRDefault="00B43AA0" w:rsidP="00B43A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Registering obligated and non-obligated entities. Non-obligated entities must register on the ICM portal for account creation and project registration, receiving a unique account ID and login credentials.</w:t>
            </w:r>
          </w:p>
          <w:p w14:paraId="07871FC5" w14:textId="77777777" w:rsidR="00B43AA0" w:rsidRDefault="00B43AA0" w:rsidP="00B43A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Maintaining a secure database with security protocols for carbon credit certificates.</w:t>
            </w:r>
          </w:p>
          <w:p w14:paraId="3A0D3A71" w14:textId="77777777" w:rsidR="00B43AA0" w:rsidRDefault="00B43AA0" w:rsidP="00B43A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Maintaining transaction records.</w:t>
            </w:r>
          </w:p>
          <w:p w14:paraId="54B00288" w14:textId="77777777" w:rsidR="00B43AA0" w:rsidRDefault="00B43AA0" w:rsidP="00B43A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Sharing transaction records with Power Exchanges and the Bureau of Energy Efficiency (BEE).</w:t>
            </w:r>
          </w:p>
          <w:p w14:paraId="2E6BD880" w14:textId="77777777" w:rsidR="00B43AA0" w:rsidRDefault="00B43AA0" w:rsidP="00B43A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Assisting in developing an information technology platform for the database.</w:t>
            </w:r>
          </w:p>
          <w:p w14:paraId="6B37C9FB" w14:textId="77777777" w:rsidR="00B43AA0" w:rsidRDefault="00B43AA0" w:rsidP="00B43A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Functioning as a meta-registry for India.</w:t>
            </w:r>
          </w:p>
          <w:p w14:paraId="35348CD1" w14:textId="77777777" w:rsidR="00B43AA0" w:rsidRDefault="00B43AA0" w:rsidP="00B43A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Establishing linkages with other national or international registries approved by the Central Government.</w:t>
            </w:r>
          </w:p>
          <w:p w14:paraId="11BDF371" w14:textId="77777777" w:rsidR="00B43AA0" w:rsidRDefault="00B43AA0" w:rsidP="00B43AA0">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Initiating all CCC retirements through the ICM portal by non-obligated entities. </w:t>
            </w:r>
          </w:p>
          <w:p w14:paraId="38C2165D" w14:textId="3C0AF0B0" w:rsidR="00B43AA0" w:rsidRPr="00CF2E7C" w:rsidRDefault="00B43AA0" w:rsidP="00B43AA0">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63367701" w:rsidR="00343937" w:rsidRPr="00CF2E7C" w:rsidRDefault="00B43A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5C796E30"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00A7B98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3AA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3CA0EF4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3AA0">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565BA3D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3AA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3F77DB4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3AA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0C88016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3AA0">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05AE5BD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43AA0">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55258F" w14:textId="37C99522" w:rsidR="009600EB" w:rsidRDefault="009600EB"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has explicit provisions to prevent double counting of carbon credits.</w:t>
            </w:r>
          </w:p>
          <w:p w14:paraId="16DB92C3" w14:textId="3376EB92" w:rsidR="009600EB" w:rsidRDefault="009600EB"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General Prohibition: Non-obligated entities must ensure no double counting or claim of emission reductions with other mechanisms. The Green Credit Programme is an exception. The declaration form requires confirmation that the project activity isn’t concurrently registered with another carbon market or mechanism. [Section B3.4 &amp; B3.5 of Detailed Procedure for </w:t>
            </w:r>
            <w:r w:rsidR="004530C9">
              <w:rPr>
                <w:rFonts w:ascii="Calibri" w:eastAsia="Times New Roman" w:hAnsi="Calibri" w:cs="Calibri"/>
                <w:kern w:val="0"/>
                <w:lang w:eastAsia="en-GB"/>
                <w14:ligatures w14:val="none"/>
              </w:rPr>
              <w:t>Offset</w:t>
            </w:r>
            <w:r>
              <w:rPr>
                <w:rFonts w:ascii="Calibri" w:eastAsia="Times New Roman" w:hAnsi="Calibri" w:cs="Calibri"/>
                <w:kern w:val="0"/>
                <w:lang w:eastAsia="en-GB"/>
                <w14:ligatures w14:val="none"/>
              </w:rPr>
              <w:t xml:space="preserve"> Mechanism] </w:t>
            </w:r>
          </w:p>
          <w:p w14:paraId="4D60ECF3" w14:textId="21C7EAF8" w:rsidR="009600EB" w:rsidRDefault="009600EB"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Registry-Based Prevention: The Registry (Grid Controller of India Limited) </w:t>
            </w:r>
            <w:r w:rsidR="004530C9" w:rsidRPr="004530C9">
              <w:rPr>
                <w:rFonts w:ascii="Calibri" w:eastAsia="Times New Roman" w:hAnsi="Calibri" w:cs="Calibri"/>
                <w:kern w:val="0"/>
                <w:lang w:eastAsia="en-GB"/>
                <w14:ligatures w14:val="none"/>
              </w:rPr>
              <w:t xml:space="preserve">The Registry maintains secure databases and records of all transactions, preventing double issuance and </w:t>
            </w:r>
            <w:r>
              <w:rPr>
                <w:rFonts w:ascii="Calibri" w:eastAsia="Times New Roman" w:hAnsi="Calibri" w:cs="Calibri"/>
                <w:kern w:val="0"/>
                <w:lang w:eastAsia="en-GB"/>
                <w14:ligatures w14:val="none"/>
              </w:rPr>
              <w:t xml:space="preserve">retirement by providing a single source of truth for credit status. [Para 6 of policy tool] </w:t>
            </w:r>
          </w:p>
          <w:p w14:paraId="3EDCCFE8" w14:textId="0105A633" w:rsidR="009600EB" w:rsidRDefault="009600EB"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Transferred CO2: If an obligated entity transfers captured GHG emissions to another entity, those emissions are only adjusted if the receiving entity demonstrates permanent storage or utilisation. Importing entities can’t use captured/stored emissions to generate new carbon credit certificates as they’ve been subtracted from the obligated entity’s emissions.</w:t>
            </w:r>
            <w:r w:rsidR="004530C9">
              <w:rPr>
                <w:rFonts w:ascii="Calibri" w:eastAsia="Times New Roman" w:hAnsi="Calibri" w:cs="Calibri"/>
                <w:kern w:val="0"/>
                <w:lang w:eastAsia="en-GB"/>
                <w14:ligatures w14:val="none"/>
              </w:rPr>
              <w:t xml:space="preserve"> [Para 19 - Section 5 of Detailed Procedure for Compliance Mechanism] </w:t>
            </w:r>
          </w:p>
          <w:p w14:paraId="198A52DE" w14:textId="2187F903" w:rsidR="009600EB" w:rsidRDefault="009600EB"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International Trading and Corresponding Adjustments: </w:t>
            </w:r>
            <w:r w:rsidR="004530C9">
              <w:rPr>
                <w:rFonts w:ascii="Calibri" w:eastAsia="Times New Roman" w:hAnsi="Calibri" w:cs="Calibri"/>
                <w:kern w:val="0"/>
                <w:lang w:eastAsia="en-GB"/>
                <w14:ligatures w14:val="none"/>
              </w:rPr>
              <w:t>For project activities approved by MoEFCC under Article 6.2 of the Paris Agreement, the quantity of Carbon Credit Certificates (CCCs) issued is labelled as “CCCs with corresponding adjustment” by the National Designated Agency for Implementation of Article 6 of Paris Agreement (NDAIAPA). This addresses double counting between host and buyer jurisdictions for internationally traded credits. Unlabelled CCCs from other activities can be sold internationally without adjustment but are accounted for in India’s Nationally Determined Contributions (NDCs). [Section A7.2.3 to A7.2.5 of Detailed Procedure for Offset Mechanism]</w:t>
            </w:r>
          </w:p>
          <w:p w14:paraId="4878BF58" w14:textId="3820DA3A" w:rsidR="009600EB" w:rsidRPr="00CF2E7C" w:rsidRDefault="009600EB" w:rsidP="009600EB">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4E006FD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727BE">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6E4FBC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195C9E6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7162">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00BC245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0E93BC5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727BE">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55C50E8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9716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2D3078D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5621E30F" w:rsidR="00A950E1" w:rsidRPr="00CF2E7C" w:rsidRDefault="00A950E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For instance, t</w:t>
            </w:r>
            <w:r w:rsidRPr="00A950E1">
              <w:rPr>
                <w:rFonts w:ascii="Calibri" w:eastAsia="Times New Roman" w:hAnsi="Calibri" w:cs="Calibri"/>
                <w:kern w:val="0"/>
                <w:lang w:eastAsia="en-GB"/>
                <w14:ligatures w14:val="none"/>
              </w:rPr>
              <w:t xml:space="preserve">he surplus generated from the </w:t>
            </w:r>
            <w:r>
              <w:rPr>
                <w:rFonts w:ascii="Calibri" w:eastAsia="Times New Roman" w:hAnsi="Calibri" w:cs="Calibri"/>
                <w:kern w:val="0"/>
                <w:lang w:eastAsia="en-GB"/>
                <w14:ligatures w14:val="none"/>
              </w:rPr>
              <w:t>sale/trade</w:t>
            </w:r>
            <w:r w:rsidRPr="00A950E1">
              <w:rPr>
                <w:rFonts w:ascii="Calibri" w:eastAsia="Times New Roman" w:hAnsi="Calibri" w:cs="Calibri"/>
                <w:kern w:val="0"/>
                <w:lang w:eastAsia="en-GB"/>
                <w14:ligatures w14:val="none"/>
              </w:rPr>
              <w:t xml:space="preserve"> of CCCs from project activity will be used as per all the rules and regulations of Section 135 of the Companies Act, 2013.</w:t>
            </w:r>
            <w:r>
              <w:rPr>
                <w:rFonts w:ascii="Calibri" w:eastAsia="Times New Roman" w:hAnsi="Calibri" w:cs="Calibri"/>
                <w:kern w:val="0"/>
                <w:lang w:eastAsia="en-GB"/>
                <w14:ligatures w14:val="none"/>
              </w:rPr>
              <w:t xml:space="preserve"> [Section A4.1.2 &amp; Part B -Annexure 1 of Detailed Procedure for Offset Mechanism]</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7687C78C" w:rsidR="000A6F11" w:rsidRPr="00CF2E7C" w:rsidRDefault="008C1F8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44D830D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1F8D">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C1F8D" w:rsidRPr="009C4D10" w14:paraId="7DD75034" w14:textId="77777777" w:rsidTr="00033A1A">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8C1F8D" w:rsidRPr="00CF2E7C" w:rsidRDefault="008C1F8D" w:rsidP="008C1F8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413A8A45" w14:textId="4FA7C8B5" w:rsidR="008C1F8D" w:rsidRPr="00CF2E7C" w:rsidRDefault="008C1F8D" w:rsidP="008C1F8D">
            <w:pPr>
              <w:textAlignment w:val="baseline"/>
              <w:rPr>
                <w:rFonts w:ascii="Calibri" w:eastAsia="Times New Roman" w:hAnsi="Calibri" w:cs="Calibri"/>
                <w:kern w:val="0"/>
                <w:lang w:eastAsia="en-GB"/>
                <w14:ligatures w14:val="none"/>
              </w:rPr>
            </w:pPr>
            <w:r w:rsidRPr="006D6491">
              <w:rPr>
                <w:rFonts w:ascii="Calibri" w:eastAsia="Times New Roman" w:hAnsi="Calibri" w:cs="Calibri"/>
                <w:kern w:val="0"/>
                <w:lang w:eastAsia="en-GB"/>
                <w14:ligatures w14:val="none"/>
              </w:rPr>
              <w:t> </w:t>
            </w:r>
            <w:r w:rsidRPr="006D6491">
              <w:rPr>
                <w:rFonts w:ascii="Calibri" w:eastAsia="Times New Roman" w:hAnsi="Calibri" w:cs="Calibri"/>
                <w:kern w:val="0"/>
                <w:lang w:val="en-US" w:eastAsia="en-GB"/>
                <w14:ligatures w14:val="none"/>
              </w:rPr>
              <w:t> </w:t>
            </w:r>
            <w:r w:rsidRPr="006D6491">
              <w:rPr>
                <w:rFonts w:ascii="Calibri" w:eastAsia="Times New Roman" w:hAnsi="Calibri" w:cs="Calibri"/>
                <w:kern w:val="0"/>
                <w:lang w:eastAsia="en-GB"/>
                <w14:ligatures w14:val="none"/>
              </w:rPr>
              <w:t> X</w:t>
            </w:r>
          </w:p>
        </w:tc>
      </w:tr>
      <w:tr w:rsidR="008C1F8D" w:rsidRPr="009C4D10" w14:paraId="0CD39B58" w14:textId="77777777" w:rsidTr="00033A1A">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8C1F8D" w:rsidRPr="00CF2E7C" w:rsidRDefault="008C1F8D" w:rsidP="008C1F8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11E4AD28" w14:textId="5FAFDF52" w:rsidR="008C1F8D" w:rsidRPr="00CF2E7C" w:rsidRDefault="008C1F8D" w:rsidP="008C1F8D">
            <w:pPr>
              <w:textAlignment w:val="baseline"/>
              <w:rPr>
                <w:rFonts w:ascii="Calibri" w:eastAsia="Times New Roman" w:hAnsi="Calibri" w:cs="Calibri"/>
                <w:kern w:val="0"/>
                <w:lang w:eastAsia="en-GB"/>
                <w14:ligatures w14:val="none"/>
              </w:rPr>
            </w:pPr>
            <w:r w:rsidRPr="006D6491">
              <w:rPr>
                <w:rFonts w:ascii="Calibri" w:eastAsia="Times New Roman" w:hAnsi="Calibri" w:cs="Calibri"/>
                <w:kern w:val="0"/>
                <w:lang w:eastAsia="en-GB"/>
                <w14:ligatures w14:val="none"/>
              </w:rPr>
              <w:t> </w:t>
            </w:r>
            <w:r w:rsidRPr="006D6491">
              <w:rPr>
                <w:rFonts w:ascii="Calibri" w:eastAsia="Times New Roman" w:hAnsi="Calibri" w:cs="Calibri"/>
                <w:kern w:val="0"/>
                <w:lang w:val="en-US" w:eastAsia="en-GB"/>
                <w14:ligatures w14:val="none"/>
              </w:rPr>
              <w:t> </w:t>
            </w:r>
            <w:r w:rsidRPr="006D6491">
              <w:rPr>
                <w:rFonts w:ascii="Calibri" w:eastAsia="Times New Roman" w:hAnsi="Calibri" w:cs="Calibri"/>
                <w:kern w:val="0"/>
                <w:lang w:eastAsia="en-GB"/>
                <w14:ligatures w14:val="none"/>
              </w:rPr>
              <w:t> X</w:t>
            </w:r>
          </w:p>
        </w:tc>
      </w:tr>
      <w:tr w:rsidR="008C1F8D" w:rsidRPr="009C4D10" w14:paraId="6D22DD1C" w14:textId="77777777" w:rsidTr="00033A1A">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8C1F8D" w:rsidRPr="00CF2E7C" w:rsidRDefault="008C1F8D" w:rsidP="008C1F8D">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3BBA1776" w14:textId="0C5C302F" w:rsidR="008C1F8D" w:rsidRPr="00CF2E7C" w:rsidRDefault="008C1F8D" w:rsidP="008C1F8D">
            <w:pPr>
              <w:textAlignment w:val="baseline"/>
              <w:rPr>
                <w:rFonts w:ascii="Calibri" w:eastAsia="Times New Roman" w:hAnsi="Calibri" w:cs="Calibri"/>
                <w:kern w:val="0"/>
                <w:lang w:eastAsia="en-GB"/>
                <w14:ligatures w14:val="none"/>
              </w:rPr>
            </w:pPr>
            <w:r w:rsidRPr="006D6491">
              <w:rPr>
                <w:rFonts w:ascii="Calibri" w:eastAsia="Times New Roman" w:hAnsi="Calibri" w:cs="Calibri"/>
                <w:kern w:val="0"/>
                <w:lang w:eastAsia="en-GB"/>
                <w14:ligatures w14:val="none"/>
              </w:rPr>
              <w:t> </w:t>
            </w:r>
            <w:r w:rsidRPr="006D6491">
              <w:rPr>
                <w:rFonts w:ascii="Calibri" w:eastAsia="Times New Roman" w:hAnsi="Calibri" w:cs="Calibri"/>
                <w:kern w:val="0"/>
                <w:lang w:val="en-US" w:eastAsia="en-GB"/>
                <w14:ligatures w14:val="none"/>
              </w:rPr>
              <w:t> </w:t>
            </w:r>
            <w:r w:rsidRPr="006D6491">
              <w:rPr>
                <w:rFonts w:ascii="Calibri" w:eastAsia="Times New Roman" w:hAnsi="Calibri" w:cs="Calibri"/>
                <w:kern w:val="0"/>
                <w:lang w:eastAsia="en-GB"/>
                <w14:ligatures w14:val="none"/>
              </w:rPr>
              <w:t> X</w:t>
            </w:r>
          </w:p>
        </w:tc>
      </w:tr>
      <w:tr w:rsidR="008C1F8D" w:rsidRPr="009C4D10" w14:paraId="6A719788" w14:textId="77777777" w:rsidTr="00033A1A">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8C1F8D" w:rsidRPr="00CF2E7C" w:rsidRDefault="008C1F8D" w:rsidP="008C1F8D">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Pr="00CF2E7C">
              <w:rPr>
                <w:rFonts w:ascii="Calibri" w:eastAsia="Times New Roman" w:hAnsi="Calibri" w:cs="Calibri"/>
                <w:b/>
                <w:bCs/>
                <w:color w:val="7030A0"/>
                <w:kern w:val="0"/>
                <w:lang w:eastAsia="en-GB"/>
                <w14:ligatures w14:val="none"/>
              </w:rPr>
              <w:t>Reserve (CAR)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4B0719B2" w14:textId="12C426EE" w:rsidR="008C1F8D" w:rsidRPr="00CF2E7C" w:rsidRDefault="008C1F8D" w:rsidP="008C1F8D">
            <w:pPr>
              <w:textAlignment w:val="baseline"/>
              <w:rPr>
                <w:rFonts w:ascii="Calibri" w:eastAsia="Times New Roman" w:hAnsi="Calibri" w:cs="Calibri"/>
                <w:kern w:val="0"/>
                <w:lang w:eastAsia="en-GB"/>
                <w14:ligatures w14:val="none"/>
              </w:rPr>
            </w:pPr>
            <w:r w:rsidRPr="006D6491">
              <w:rPr>
                <w:rFonts w:ascii="Calibri" w:eastAsia="Times New Roman" w:hAnsi="Calibri" w:cs="Calibri"/>
                <w:kern w:val="0"/>
                <w:lang w:eastAsia="en-GB"/>
                <w14:ligatures w14:val="none"/>
              </w:rPr>
              <w:t> </w:t>
            </w:r>
            <w:r w:rsidRPr="006D6491">
              <w:rPr>
                <w:rFonts w:ascii="Calibri" w:eastAsia="Times New Roman" w:hAnsi="Calibri" w:cs="Calibri"/>
                <w:kern w:val="0"/>
                <w:lang w:val="en-US" w:eastAsia="en-GB"/>
                <w14:ligatures w14:val="none"/>
              </w:rPr>
              <w:t> </w:t>
            </w:r>
            <w:r w:rsidRPr="006D6491">
              <w:rPr>
                <w:rFonts w:ascii="Calibri" w:eastAsia="Times New Roman" w:hAnsi="Calibri" w:cs="Calibri"/>
                <w:kern w:val="0"/>
                <w:lang w:eastAsia="en-GB"/>
                <w14:ligatures w14:val="none"/>
              </w:rPr>
              <w:t> X</w:t>
            </w:r>
          </w:p>
        </w:tc>
      </w:tr>
      <w:tr w:rsidR="008C1F8D" w:rsidRPr="009C4D10" w14:paraId="6843A98C" w14:textId="77777777" w:rsidTr="00033A1A">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8C1F8D" w:rsidRPr="00CF2E7C" w:rsidRDefault="008C1F8D" w:rsidP="008C1F8D">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8C1F8D" w:rsidRPr="00CF2E7C" w:rsidRDefault="008C1F8D" w:rsidP="008C1F8D">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hideMark/>
          </w:tcPr>
          <w:p w14:paraId="4C40AD42" w14:textId="05A64EE3" w:rsidR="008C1F8D" w:rsidRPr="00CF2E7C" w:rsidRDefault="008C1F8D" w:rsidP="008C1F8D">
            <w:pPr>
              <w:textAlignment w:val="baseline"/>
              <w:rPr>
                <w:rFonts w:ascii="Calibri" w:eastAsia="Times New Roman" w:hAnsi="Calibri" w:cs="Calibri"/>
                <w:kern w:val="0"/>
                <w:lang w:eastAsia="en-GB"/>
                <w14:ligatures w14:val="none"/>
              </w:rPr>
            </w:pPr>
            <w:r w:rsidRPr="006D6491">
              <w:rPr>
                <w:rFonts w:ascii="Calibri" w:eastAsia="Times New Roman" w:hAnsi="Calibri" w:cs="Calibri"/>
                <w:kern w:val="0"/>
                <w:lang w:eastAsia="en-GB"/>
                <w14:ligatures w14:val="none"/>
              </w:rPr>
              <w:t> </w:t>
            </w:r>
            <w:r w:rsidRPr="006D6491">
              <w:rPr>
                <w:rFonts w:ascii="Calibri" w:eastAsia="Times New Roman" w:hAnsi="Calibri" w:cs="Calibri"/>
                <w:kern w:val="0"/>
                <w:lang w:val="en-US" w:eastAsia="en-GB"/>
                <w14:ligatures w14:val="none"/>
              </w:rPr>
              <w:t> </w:t>
            </w:r>
            <w:r w:rsidRPr="006D6491">
              <w:rPr>
                <w:rFonts w:ascii="Calibri" w:eastAsia="Times New Roman" w:hAnsi="Calibri" w:cs="Calibri"/>
                <w:kern w:val="0"/>
                <w:lang w:eastAsia="en-GB"/>
                <w14:ligatures w14:val="none"/>
              </w:rPr>
              <w:t> 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448D00D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1F8D">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20B3919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1F8D">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31AFF5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1F8D" w:rsidRPr="00CF2E7C">
              <w:rPr>
                <w:rFonts w:ascii="Calibri" w:eastAsia="Times New Roman" w:hAnsi="Calibri" w:cs="Calibri"/>
                <w:kern w:val="0"/>
                <w:lang w:eastAsia="en-GB"/>
                <w14:ligatures w14:val="none"/>
              </w:rPr>
              <w:t> </w:t>
            </w:r>
            <w:r w:rsidR="008C1F8D" w:rsidRPr="00CF2E7C">
              <w:rPr>
                <w:rFonts w:ascii="Calibri" w:eastAsia="Times New Roman" w:hAnsi="Calibri" w:cs="Calibri"/>
                <w:kern w:val="0"/>
                <w:lang w:val="en-US" w:eastAsia="en-GB"/>
                <w14:ligatures w14:val="none"/>
              </w:rPr>
              <w:t> </w:t>
            </w:r>
            <w:r w:rsidR="008C1F8D" w:rsidRPr="00CF2E7C">
              <w:rPr>
                <w:rFonts w:ascii="Calibri" w:eastAsia="Times New Roman" w:hAnsi="Calibri" w:cs="Calibri"/>
                <w:kern w:val="0"/>
                <w:lang w:eastAsia="en-GB"/>
                <w14:ligatures w14:val="none"/>
              </w:rPr>
              <w:t> </w:t>
            </w:r>
            <w:r w:rsidR="008C1F8D">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1EF58B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C1F8D">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1FA972A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1F8D">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582CFF07" w:rsidR="00047A9C" w:rsidRPr="00CF2E7C" w:rsidRDefault="00BE0F19"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Accredited Carbon Verification Agencies (ACVAs) must meet stringent qualifications and operational standards to certify carbon credits. They must meet the minimum eligibility criteria outlined in the ‘Accreditation Procedure and Eligibility Criteria for Accredited Carbon Verification Agency’. This includes ISO 14065:2020 accreditation for bodies validating and verifying environmental information within one year of provisional accreditation. Lead verifiers and verifiers within the ACVA team must hold Lead Verifier certification for ISO 14064 1/2/3 </w:t>
            </w:r>
            <w:r w:rsidR="008C1F8D">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Refer - </w:t>
            </w:r>
            <w:r w:rsidR="008C1F8D">
              <w:rPr>
                <w:rFonts w:ascii="Calibri" w:eastAsia="Times New Roman" w:hAnsi="Calibri" w:cs="Calibri"/>
                <w:kern w:val="0"/>
                <w:lang w:eastAsia="en-GB"/>
                <w14:ligatures w14:val="none"/>
              </w:rPr>
              <w:t xml:space="preserve">Section 3: Scope of Accreditation of </w:t>
            </w:r>
            <w:r w:rsidR="008C1F8D" w:rsidRPr="008C1F8D">
              <w:rPr>
                <w:rFonts w:ascii="Calibri" w:eastAsia="Times New Roman" w:hAnsi="Calibri" w:cs="Calibri"/>
                <w:kern w:val="0"/>
                <w:lang w:eastAsia="en-GB"/>
                <w14:ligatures w14:val="none"/>
              </w:rPr>
              <w:t>Accreditation Eligibility Criteria and Procedure</w:t>
            </w:r>
            <w:r w:rsidR="008C1F8D">
              <w:rPr>
                <w:rFonts w:ascii="Calibri" w:eastAsia="Times New Roman" w:hAnsi="Calibri" w:cs="Calibri"/>
                <w:kern w:val="0"/>
                <w:lang w:eastAsia="en-GB"/>
                <w14:ligatures w14:val="none"/>
              </w:rPr>
              <w:t xml:space="preserve"> for ACVAs]</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388D49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B1689">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505CAD3D" w:rsidR="00047A9C" w:rsidRPr="00CF2E7C" w:rsidRDefault="00047A9C" w:rsidP="00033A1A">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B1689">
              <w:rPr>
                <w:rFonts w:ascii="Calibri" w:eastAsia="Times New Roman" w:hAnsi="Calibri" w:cs="Calibri"/>
                <w:kern w:val="0"/>
                <w:lang w:eastAsia="en-GB"/>
                <w14:ligatures w14:val="none"/>
              </w:rPr>
              <w:t xml:space="preserve">The policy tool requires projects to show additionality [Section B4.7 of Detailed Procedure for Offset Mechanism]. A project activity is additional if it reduces or removes more GHGs than would have happened without the incentive of Carbon Credit Certificates (CCCs).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0395F3F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43608">
              <w:rPr>
                <w:rFonts w:ascii="Calibri" w:eastAsia="Times New Roman" w:hAnsi="Calibri" w:cs="Calibri"/>
                <w:kern w:val="0"/>
                <w:lang w:eastAsia="en-GB"/>
                <w14:ligatures w14:val="none"/>
              </w:rPr>
              <w:t>X</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290F023E" w:rsidR="00047A9C" w:rsidRPr="00CF2E7C" w:rsidRDefault="00047A9C" w:rsidP="00033A1A">
            <w:pPr>
              <w:jc w:val="both"/>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24A0B" w:rsidRPr="00924A0B">
              <w:rPr>
                <w:rFonts w:ascii="Calibri" w:eastAsia="Times New Roman" w:hAnsi="Calibri" w:cs="Calibri"/>
                <w:kern w:val="0"/>
                <w:lang w:eastAsia="en-GB"/>
                <w14:ligatures w14:val="none"/>
              </w:rPr>
              <w:t>The policy tool places a "Strong focus on Additionality and Permanence"</w:t>
            </w:r>
            <w:r w:rsidR="00924A0B">
              <w:rPr>
                <w:rFonts w:ascii="Calibri" w:eastAsia="Times New Roman" w:hAnsi="Calibri" w:cs="Calibri"/>
                <w:kern w:val="0"/>
                <w:lang w:eastAsia="en-GB"/>
                <w14:ligatures w14:val="none"/>
              </w:rPr>
              <w:t xml:space="preserve"> (Para V(c) at Page 8)</w:t>
            </w:r>
            <w:r w:rsidR="00924A0B" w:rsidRPr="00924A0B">
              <w:rPr>
                <w:rFonts w:ascii="Calibri" w:eastAsia="Times New Roman" w:hAnsi="Calibri" w:cs="Calibri"/>
                <w:kern w:val="0"/>
                <w:lang w:eastAsia="en-GB"/>
                <w14:ligatures w14:val="none"/>
              </w:rPr>
              <w:t xml:space="preserve"> as one of the core values of the Offset Mechanism. While a specific minimum number of years for sequestration is not explicitly stated in the provided excerpts, the Project Design Document (PDD), which non-obligated entities must prepare, is required to detail how "non-permanence and risks of reversals" will be addressed</w:t>
            </w:r>
            <w:r w:rsidR="00924A0B">
              <w:rPr>
                <w:rFonts w:ascii="Calibri" w:eastAsia="Times New Roman" w:hAnsi="Calibri" w:cs="Calibri"/>
                <w:kern w:val="0"/>
                <w:lang w:eastAsia="en-GB"/>
                <w14:ligatures w14:val="none"/>
              </w:rPr>
              <w:t>. [Section A4.6.1</w:t>
            </w:r>
            <w:r w:rsidR="005825CC">
              <w:rPr>
                <w:rFonts w:ascii="Calibri" w:eastAsia="Times New Roman" w:hAnsi="Calibri" w:cs="Calibri"/>
                <w:kern w:val="0"/>
                <w:lang w:eastAsia="en-GB"/>
                <w14:ligatures w14:val="none"/>
              </w:rPr>
              <w:t xml:space="preserve"> &amp; A4.2.4</w:t>
            </w:r>
            <w:r w:rsidR="00924A0B">
              <w:rPr>
                <w:rFonts w:ascii="Calibri" w:eastAsia="Times New Roman" w:hAnsi="Calibri" w:cs="Calibri"/>
                <w:kern w:val="0"/>
                <w:lang w:eastAsia="en-GB"/>
                <w14:ligatures w14:val="none"/>
              </w:rPr>
              <w:t xml:space="preserve"> </w:t>
            </w:r>
            <w:r w:rsidR="005825CC" w:rsidRPr="00033A1A">
              <w:rPr>
                <w:rFonts w:ascii="Calibri" w:eastAsia="Times New Roman" w:hAnsi="Calibri" w:cs="Calibri"/>
                <w:i/>
                <w:iCs/>
                <w:kern w:val="0"/>
                <w:u w:val="single"/>
                <w:lang w:eastAsia="en-GB"/>
                <w14:ligatures w14:val="none"/>
              </w:rPr>
              <w:t>read with</w:t>
            </w:r>
            <w:r w:rsidR="005825CC">
              <w:rPr>
                <w:rFonts w:ascii="Calibri" w:eastAsia="Times New Roman" w:hAnsi="Calibri" w:cs="Calibri"/>
                <w:kern w:val="0"/>
                <w:lang w:eastAsia="en-GB"/>
                <w14:ligatures w14:val="none"/>
              </w:rPr>
              <w:t xml:space="preserve"> </w:t>
            </w:r>
            <w:r w:rsidR="00924A0B">
              <w:rPr>
                <w:rFonts w:ascii="Calibri" w:eastAsia="Times New Roman" w:hAnsi="Calibri" w:cs="Calibri"/>
                <w:kern w:val="0"/>
                <w:lang w:eastAsia="en-GB"/>
                <w14:ligatures w14:val="none"/>
              </w:rPr>
              <w:t>B2.1, C4.3.1(v)(d) Annexure 3 &amp; 4 of Detailed Procedure for Offset Mechanism]</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45BE810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F60F9">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A6EB7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F60F9">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0D4A0D7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F60F9">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589B6B2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F60F9">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10F486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F60F9">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5140A1F5" w:rsidR="00047A9C" w:rsidRPr="00CF2E7C" w:rsidRDefault="00BF60F9"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mandates a section in the Project Design Document for offset projects, addressing non-permanence and risks of reversals. This section includes identifying risks, assessing likelihood and magnitude, developing mitigation plans, and outlining remediation procedures. [Section A4.1.6. read with Annexure 3 of Detailed Procedure for Offset Mechanism]</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168882ED" w:rsidR="00DD694D" w:rsidRPr="00CF2E7C" w:rsidRDefault="008B10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36D574E0"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B4370F4" w:rsidR="00DD694D" w:rsidRPr="00CF2E7C" w:rsidRDefault="008B10CF"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outlines criteria for quantifying emission reductions or removals for carbon credit projects. It requires both ex-ante and ex-post calculations, reliable methodologies, and adherence to conservativeness. GHG reductions or removals must be converted to tCO2e using IPCC AR5 GWP (referenced) values</w:t>
            </w:r>
            <w:r w:rsidR="0007342D">
              <w:rPr>
                <w:rFonts w:ascii="Calibri" w:eastAsia="Times New Roman" w:hAnsi="Calibri" w:cs="Calibri"/>
                <w:kern w:val="0"/>
                <w:lang w:eastAsia="en-GB"/>
                <w14:ligatures w14:val="none"/>
              </w:rPr>
              <w:t xml:space="preserve"> and </w:t>
            </w:r>
            <w:r>
              <w:rPr>
                <w:rFonts w:ascii="Calibri" w:eastAsia="Times New Roman" w:hAnsi="Calibri" w:cs="Calibri"/>
                <w:kern w:val="0"/>
                <w:lang w:eastAsia="en-GB"/>
                <w14:ligatures w14:val="none"/>
              </w:rPr>
              <w:t>principles [Section B4.8 &amp; Annexure 9 of Detailed Procedure for Offset Mechanism]</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5DFEB75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757F1">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89ED6BC" w:rsidR="00DD694D" w:rsidRPr="00CF2E7C" w:rsidRDefault="00AE1A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6DA427E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757F1">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41664DE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757F1">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611C17E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1ACD">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20AA96D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E1ACD">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8BA950" w14:textId="48B7ADD7" w:rsidR="00FC1CE5" w:rsidRDefault="00FC1CE5"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significantly safeguards the social integrity of carbon credits. This is achieved through two main methods:</w:t>
            </w:r>
          </w:p>
          <w:p w14:paraId="6697E66E" w14:textId="77777777" w:rsidR="00FC1CE5" w:rsidRDefault="00FC1CE5"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Local Stakeholder Consultation: A stakeholder consultation must be conducted before the submission of the Project Description Document (PDD) for validation. Refer to Section B4.11 of the Detailed Procedure for Offset Mechanism.</w:t>
            </w:r>
          </w:p>
          <w:p w14:paraId="06E9F3D2" w14:textId="77777777" w:rsidR="00FC1CE5" w:rsidRDefault="00FC1CE5"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Sustainable Development Goals (SDG) Standard: The project must align with the Sustainable Development Goals (SDGs) as outlined in Section D of the Detailed Procedure for Offset Mechanism.</w:t>
            </w:r>
          </w:p>
          <w:p w14:paraId="2206715E" w14:textId="6C700A3C" w:rsidR="00FC1CE5" w:rsidRPr="00CF2E7C" w:rsidRDefault="00FC1CE5"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247E98">
        <w:trPr>
          <w:trHeight w:val="340"/>
        </w:trPr>
        <w:tc>
          <w:tcPr>
            <w:tcW w:w="10612"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8EB7BB0" w:rsidR="00B87C89" w:rsidRPr="00CF2E7C" w:rsidRDefault="008B79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87C89" w:rsidRPr="00CF2E7C" w14:paraId="61D13A33"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47E98">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14483F" w:rsidR="00B87C89" w:rsidRPr="00CF2E7C" w:rsidRDefault="00AB4138"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specific proportion is not specified. If an obligated entity fails to meet its GHG emission intensity target, it must surrender the equivalent number of Carbon Credit Certificates (CCCs). This is calculated as the difference between the achieved and target intensities multiplied by the production units, as outlined in Para 4 – Section 8 of the Detailed Procedure for Compliance Mechanism. This means there is a direct numerical obligation rather than a proportional cap on offsetting. </w:t>
            </w:r>
          </w:p>
        </w:tc>
      </w:tr>
      <w:tr w:rsidR="002119B6" w:rsidRPr="00CF2E7C" w14:paraId="2A70FFBC"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6F8A3E1F" w14:textId="553A18AA"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0625B7A1" w14:textId="7EB2EDC1" w:rsidR="002119B6" w:rsidRPr="00CF2E7C" w:rsidRDefault="00AB41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47E98">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247E98">
        <w:trPr>
          <w:trHeight w:val="340"/>
        </w:trPr>
        <w:tc>
          <w:tcPr>
            <w:tcW w:w="10612"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vAlign w:val="center"/>
            <w:hideMark/>
          </w:tcPr>
          <w:p w14:paraId="7D577B6B" w14:textId="77BEFA9D" w:rsidR="00FE7FA5" w:rsidRPr="00CF2E7C" w:rsidRDefault="00AB413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47E98">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2080C3D9" w14:textId="53358974" w:rsidR="00FE7FA5" w:rsidRPr="00CF2E7C" w:rsidRDefault="00AB4138"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outlines guidelines for voluntary carbon market trading, requiring registration on the ICM Registry and trading on C</w:t>
            </w:r>
            <w:r w:rsidR="00AE0B67">
              <w:rPr>
                <w:rFonts w:ascii="Calibri" w:eastAsia="Times New Roman" w:hAnsi="Calibri" w:cs="Calibri"/>
                <w:kern w:val="0"/>
                <w:lang w:eastAsia="en-GB"/>
                <w14:ligatures w14:val="none"/>
              </w:rPr>
              <w:t xml:space="preserve">entral </w:t>
            </w:r>
            <w:r>
              <w:rPr>
                <w:rFonts w:ascii="Calibri" w:eastAsia="Times New Roman" w:hAnsi="Calibri" w:cs="Calibri"/>
                <w:kern w:val="0"/>
                <w:lang w:eastAsia="en-GB"/>
                <w14:ligatures w14:val="none"/>
              </w:rPr>
              <w:t>E</w:t>
            </w:r>
            <w:r w:rsidR="00AE0B67">
              <w:rPr>
                <w:rFonts w:ascii="Calibri" w:eastAsia="Times New Roman" w:hAnsi="Calibri" w:cs="Calibri"/>
                <w:kern w:val="0"/>
                <w:lang w:eastAsia="en-GB"/>
                <w14:ligatures w14:val="none"/>
              </w:rPr>
              <w:t xml:space="preserve">lectricity Regulation </w:t>
            </w:r>
            <w:r>
              <w:rPr>
                <w:rFonts w:ascii="Calibri" w:eastAsia="Times New Roman" w:hAnsi="Calibri" w:cs="Calibri"/>
                <w:kern w:val="0"/>
                <w:lang w:eastAsia="en-GB"/>
                <w14:ligatures w14:val="none"/>
              </w:rPr>
              <w:t>C</w:t>
            </w:r>
            <w:r w:rsidR="00AE0B67">
              <w:rPr>
                <w:rFonts w:ascii="Calibri" w:eastAsia="Times New Roman" w:hAnsi="Calibri" w:cs="Calibri"/>
                <w:kern w:val="0"/>
                <w:lang w:eastAsia="en-GB"/>
                <w14:ligatures w14:val="none"/>
              </w:rPr>
              <w:t>ommission</w:t>
            </w:r>
            <w:r>
              <w:rPr>
                <w:rFonts w:ascii="Calibri" w:eastAsia="Times New Roman" w:hAnsi="Calibri" w:cs="Calibri"/>
                <w:kern w:val="0"/>
                <w:lang w:eastAsia="en-GB"/>
                <w14:ligatures w14:val="none"/>
              </w:rPr>
              <w:t xml:space="preserve">-registered Power Exchanges. CERC regulates trading activities to ensure fair practices and prevent fraud. [Para 7 of policy tool read with Section 9 of </w:t>
            </w:r>
            <w:r w:rsidRPr="00AB4138">
              <w:rPr>
                <w:rFonts w:ascii="Calibri" w:eastAsia="Times New Roman" w:hAnsi="Calibri" w:cs="Calibri"/>
                <w:kern w:val="0"/>
                <w:lang w:eastAsia="en-GB"/>
                <w14:ligatures w14:val="none"/>
              </w:rPr>
              <w:t>Detailed Procedure for Compliance Mechanism</w:t>
            </w:r>
            <w:r>
              <w:rPr>
                <w:rFonts w:ascii="Calibri" w:eastAsia="Times New Roman" w:hAnsi="Calibri" w:cs="Calibri"/>
                <w:kern w:val="0"/>
                <w:lang w:eastAsia="en-GB"/>
                <w14:ligatures w14:val="none"/>
              </w:rPr>
              <w:t xml:space="preserve">] </w:t>
            </w:r>
          </w:p>
        </w:tc>
      </w:tr>
      <w:tr w:rsidR="00FE7FA5" w:rsidRPr="00CF2E7C" w14:paraId="194DA0A8"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47E98">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68DA79BD" w14:textId="3400F33C" w:rsidR="00FE7FA5" w:rsidRPr="00CF2E7C" w:rsidRDefault="00247E98"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defines Carbon Credit Certificates (CCCs) for GHG emission reductions or avoidance and removals, generated from projects in approved sectors like energy, industries, waste, agriculture, forestry, transport, construction, fugitive emissions, solvent use, and CCUS. These CCCs can be purchased voluntarily by non-obligated entities. [Section A2.1 of Detailed Procedure for Offset Mechanism] </w:t>
            </w:r>
          </w:p>
        </w:tc>
      </w:tr>
      <w:tr w:rsidR="00FE7FA5" w:rsidRPr="00CF2E7C" w14:paraId="261BF6A5"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3FF34CD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47E98">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108C912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7E98">
              <w:rPr>
                <w:rFonts w:ascii="Calibri" w:eastAsia="Times New Roman" w:hAnsi="Calibri" w:cs="Calibri"/>
                <w:kern w:val="0"/>
                <w:lang w:eastAsia="en-GB"/>
                <w14:ligatures w14:val="none"/>
              </w:rPr>
              <w:t>X</w:t>
            </w:r>
          </w:p>
        </w:tc>
      </w:tr>
      <w:tr w:rsidR="00247E98" w:rsidRPr="00CF2E7C" w14:paraId="0E6F98F1" w14:textId="77777777" w:rsidTr="00033A1A">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247E98" w:rsidRPr="00CF2E7C" w:rsidRDefault="00247E98" w:rsidP="00247E9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2AE93F9" w14:textId="3540457B" w:rsidR="00247E98" w:rsidRPr="00CF2E7C" w:rsidRDefault="00247E98" w:rsidP="00247E98">
            <w:pPr>
              <w:textAlignment w:val="baseline"/>
              <w:rPr>
                <w:rFonts w:ascii="Calibri" w:eastAsia="Times New Roman" w:hAnsi="Calibri" w:cs="Calibri"/>
                <w:kern w:val="0"/>
                <w:lang w:eastAsia="en-GB"/>
                <w14:ligatures w14:val="none"/>
              </w:rPr>
            </w:pPr>
            <w:r w:rsidRPr="008B6DCB">
              <w:rPr>
                <w:rFonts w:ascii="Calibri" w:eastAsia="Times New Roman" w:hAnsi="Calibri" w:cs="Calibri"/>
                <w:kern w:val="0"/>
                <w:lang w:eastAsia="en-GB"/>
                <w14:ligatures w14:val="none"/>
              </w:rPr>
              <w:t>X</w:t>
            </w:r>
          </w:p>
        </w:tc>
      </w:tr>
      <w:tr w:rsidR="00247E98" w:rsidRPr="00CF2E7C" w14:paraId="5186886C" w14:textId="77777777" w:rsidTr="00033A1A">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247E98" w:rsidRPr="00CF2E7C" w:rsidRDefault="00247E98" w:rsidP="00247E9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0FBFF0D3" w14:textId="53A4543F" w:rsidR="00247E98" w:rsidRPr="00CF2E7C" w:rsidRDefault="00247E98" w:rsidP="00247E98">
            <w:pPr>
              <w:textAlignment w:val="baseline"/>
              <w:rPr>
                <w:rFonts w:ascii="Calibri" w:eastAsia="Times New Roman" w:hAnsi="Calibri" w:cs="Calibri"/>
                <w:kern w:val="0"/>
                <w:lang w:eastAsia="en-GB"/>
                <w14:ligatures w14:val="none"/>
              </w:rPr>
            </w:pPr>
            <w:r w:rsidRPr="008B6DCB">
              <w:rPr>
                <w:rFonts w:ascii="Calibri" w:eastAsia="Times New Roman" w:hAnsi="Calibri" w:cs="Calibri"/>
                <w:kern w:val="0"/>
                <w:lang w:eastAsia="en-GB"/>
                <w14:ligatures w14:val="none"/>
              </w:rPr>
              <w:t>X</w:t>
            </w:r>
          </w:p>
        </w:tc>
      </w:tr>
      <w:tr w:rsidR="00247E98" w:rsidRPr="00CF2E7C" w14:paraId="35A49A72" w14:textId="77777777" w:rsidTr="00033A1A">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247E98" w:rsidRPr="00CF2E7C" w:rsidRDefault="00247E98" w:rsidP="00247E9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336E9DB3" w14:textId="6BB4C253" w:rsidR="00247E98" w:rsidRPr="00CF2E7C" w:rsidRDefault="00247E98" w:rsidP="00247E98">
            <w:pPr>
              <w:textAlignment w:val="baseline"/>
              <w:rPr>
                <w:rFonts w:ascii="Calibri" w:eastAsia="Times New Roman" w:hAnsi="Calibri" w:cs="Calibri"/>
                <w:kern w:val="0"/>
                <w:lang w:eastAsia="en-GB"/>
                <w14:ligatures w14:val="none"/>
              </w:rPr>
            </w:pPr>
            <w:r w:rsidRPr="008B6DCB">
              <w:rPr>
                <w:rFonts w:ascii="Calibri" w:eastAsia="Times New Roman" w:hAnsi="Calibri" w:cs="Calibri"/>
                <w:kern w:val="0"/>
                <w:lang w:eastAsia="en-GB"/>
                <w14:ligatures w14:val="none"/>
              </w:rPr>
              <w:t>X</w:t>
            </w:r>
          </w:p>
        </w:tc>
      </w:tr>
      <w:tr w:rsidR="00247E98" w:rsidRPr="00CF2E7C" w14:paraId="29587265" w14:textId="77777777" w:rsidTr="00033A1A">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247E98" w:rsidRPr="00CF2E7C" w:rsidRDefault="00247E98" w:rsidP="00247E9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7517B3C5" w14:textId="7B947D02" w:rsidR="00247E98" w:rsidRPr="00CF2E7C" w:rsidRDefault="00247E98" w:rsidP="00247E98">
            <w:pPr>
              <w:textAlignment w:val="baseline"/>
              <w:rPr>
                <w:rFonts w:ascii="Calibri" w:eastAsia="Times New Roman" w:hAnsi="Calibri" w:cs="Calibri"/>
                <w:kern w:val="0"/>
                <w:lang w:eastAsia="en-GB"/>
                <w14:ligatures w14:val="none"/>
              </w:rPr>
            </w:pPr>
            <w:r w:rsidRPr="008B6DCB">
              <w:rPr>
                <w:rFonts w:ascii="Calibri" w:eastAsia="Times New Roman" w:hAnsi="Calibri" w:cs="Calibri"/>
                <w:kern w:val="0"/>
                <w:lang w:eastAsia="en-GB"/>
                <w14:ligatures w14:val="none"/>
              </w:rPr>
              <w:t>X</w:t>
            </w:r>
          </w:p>
        </w:tc>
      </w:tr>
      <w:tr w:rsidR="00247E98" w:rsidRPr="00CF2E7C" w14:paraId="40592DC8" w14:textId="77777777" w:rsidTr="00033A1A">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247E98" w:rsidRPr="00CF2E7C" w:rsidRDefault="00247E98" w:rsidP="00247E98">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58A4ABA1" w14:textId="550C4789" w:rsidR="00247E98" w:rsidRPr="00CF2E7C" w:rsidRDefault="00247E98" w:rsidP="00247E98">
            <w:pPr>
              <w:textAlignment w:val="baseline"/>
              <w:rPr>
                <w:rFonts w:ascii="Calibri" w:eastAsia="Times New Roman" w:hAnsi="Calibri" w:cs="Calibri"/>
                <w:kern w:val="0"/>
                <w:lang w:eastAsia="en-GB"/>
                <w14:ligatures w14:val="none"/>
              </w:rPr>
            </w:pPr>
            <w:r w:rsidRPr="008B6DCB">
              <w:rPr>
                <w:rFonts w:ascii="Calibri" w:eastAsia="Times New Roman" w:hAnsi="Calibri" w:cs="Calibri"/>
                <w:kern w:val="0"/>
                <w:lang w:eastAsia="en-GB"/>
                <w14:ligatures w14:val="none"/>
              </w:rPr>
              <w:t>X</w:t>
            </w:r>
          </w:p>
        </w:tc>
      </w:tr>
      <w:tr w:rsidR="00247E98" w:rsidRPr="00CF2E7C" w14:paraId="32DFAB9E" w14:textId="77777777" w:rsidTr="00033A1A">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247E98" w:rsidRPr="00CF2E7C" w:rsidRDefault="00247E98" w:rsidP="00247E98">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hideMark/>
          </w:tcPr>
          <w:p w14:paraId="1E97713B" w14:textId="3B010B1C" w:rsidR="00247E98" w:rsidRPr="00CF2E7C" w:rsidRDefault="00247E98" w:rsidP="00247E98">
            <w:pPr>
              <w:textAlignment w:val="baseline"/>
              <w:rPr>
                <w:rFonts w:ascii="Calibri" w:eastAsia="Times New Roman" w:hAnsi="Calibri" w:cs="Calibri"/>
                <w:kern w:val="0"/>
                <w:lang w:eastAsia="en-GB"/>
                <w14:ligatures w14:val="none"/>
              </w:rPr>
            </w:pPr>
            <w:r w:rsidRPr="008B6DCB">
              <w:rPr>
                <w:rFonts w:ascii="Calibri" w:eastAsia="Times New Roman" w:hAnsi="Calibri" w:cs="Calibri"/>
                <w:kern w:val="0"/>
                <w:lang w:eastAsia="en-GB"/>
                <w14:ligatures w14:val="none"/>
              </w:rPr>
              <w:t>X</w:t>
            </w:r>
          </w:p>
        </w:tc>
      </w:tr>
      <w:tr w:rsidR="00FE7FA5" w:rsidRPr="00CF2E7C" w14:paraId="5974969F"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3D6E81A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586F858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7E98">
              <w:rPr>
                <w:rFonts w:ascii="Calibri" w:eastAsia="Times New Roman" w:hAnsi="Calibri" w:cs="Calibri"/>
                <w:kern w:val="0"/>
                <w:lang w:eastAsia="en-GB"/>
                <w14:ligatures w14:val="none"/>
              </w:rPr>
              <w:t>X</w:t>
            </w:r>
          </w:p>
        </w:tc>
      </w:tr>
      <w:tr w:rsidR="00FE7FA5" w:rsidRPr="00CF2E7C" w14:paraId="750FEA7A"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321416A0" w:rsidR="00FE7FA5" w:rsidRPr="00CF2E7C" w:rsidRDefault="00A40427"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policy tool integrates various international and national standards, frameworks, and guidelines to ensure the integrity and quality of carbon credits. These include </w:t>
            </w:r>
            <w:hyperlink r:id="rId25" w:history="1">
              <w:r w:rsidRPr="00230AC2">
                <w:rPr>
                  <w:rStyle w:val="Hyperlink"/>
                  <w:rFonts w:ascii="Calibri" w:eastAsia="Times New Roman" w:hAnsi="Calibri" w:cs="Calibri"/>
                  <w:kern w:val="0"/>
                  <w:lang w:eastAsia="en-GB"/>
                  <w14:ligatures w14:val="none"/>
                </w:rPr>
                <w:t>ISO 14065:2020</w:t>
              </w:r>
            </w:hyperlink>
            <w:r>
              <w:rPr>
                <w:rFonts w:ascii="Calibri" w:eastAsia="Times New Roman" w:hAnsi="Calibri" w:cs="Calibri"/>
                <w:kern w:val="0"/>
                <w:lang w:eastAsia="en-GB"/>
                <w14:ligatures w14:val="none"/>
              </w:rPr>
              <w:t xml:space="preserve"> for ACV agency accreditation, ISO 14064 </w:t>
            </w:r>
            <w:hyperlink r:id="rId26" w:history="1">
              <w:r w:rsidRPr="00230AC2">
                <w:rPr>
                  <w:rStyle w:val="Hyperlink"/>
                  <w:rFonts w:ascii="Calibri" w:eastAsia="Times New Roman" w:hAnsi="Calibri" w:cs="Calibri"/>
                  <w:kern w:val="0"/>
                  <w:lang w:eastAsia="en-GB"/>
                  <w14:ligatures w14:val="none"/>
                </w:rPr>
                <w:t>1</w:t>
              </w:r>
            </w:hyperlink>
            <w:r>
              <w:rPr>
                <w:rFonts w:ascii="Calibri" w:eastAsia="Times New Roman" w:hAnsi="Calibri" w:cs="Calibri"/>
                <w:kern w:val="0"/>
                <w:lang w:eastAsia="en-GB"/>
                <w14:ligatures w14:val="none"/>
              </w:rPr>
              <w:t>/</w:t>
            </w:r>
            <w:hyperlink r:id="rId27" w:history="1">
              <w:r w:rsidRPr="00230AC2">
                <w:rPr>
                  <w:rStyle w:val="Hyperlink"/>
                  <w:rFonts w:ascii="Calibri" w:eastAsia="Times New Roman" w:hAnsi="Calibri" w:cs="Calibri"/>
                  <w:kern w:val="0"/>
                  <w:lang w:eastAsia="en-GB"/>
                  <w14:ligatures w14:val="none"/>
                </w:rPr>
                <w:t>2</w:t>
              </w:r>
            </w:hyperlink>
            <w:r>
              <w:rPr>
                <w:rFonts w:ascii="Calibri" w:eastAsia="Times New Roman" w:hAnsi="Calibri" w:cs="Calibri"/>
                <w:kern w:val="0"/>
                <w:lang w:eastAsia="en-GB"/>
                <w14:ligatures w14:val="none"/>
              </w:rPr>
              <w:t>/</w:t>
            </w:r>
            <w:hyperlink r:id="rId28" w:history="1">
              <w:r w:rsidRPr="00230AC2">
                <w:rPr>
                  <w:rStyle w:val="Hyperlink"/>
                  <w:rFonts w:ascii="Calibri" w:eastAsia="Times New Roman" w:hAnsi="Calibri" w:cs="Calibri"/>
                  <w:kern w:val="0"/>
                  <w:lang w:eastAsia="en-GB"/>
                  <w14:ligatures w14:val="none"/>
                </w:rPr>
                <w:t>3</w:t>
              </w:r>
            </w:hyperlink>
            <w:r>
              <w:rPr>
                <w:rFonts w:ascii="Calibri" w:eastAsia="Times New Roman" w:hAnsi="Calibri" w:cs="Calibri"/>
                <w:kern w:val="0"/>
                <w:lang w:eastAsia="en-GB"/>
                <w14:ligatures w14:val="none"/>
              </w:rPr>
              <w:t xml:space="preserve"> for verifier certifications, and </w:t>
            </w:r>
            <w:hyperlink r:id="rId29" w:history="1">
              <w:r w:rsidRPr="00CF431C">
                <w:rPr>
                  <w:rStyle w:val="Hyperlink"/>
                  <w:rFonts w:ascii="Calibri" w:eastAsia="Times New Roman" w:hAnsi="Calibri" w:cs="Calibri"/>
                  <w:kern w:val="0"/>
                  <w:lang w:eastAsia="en-GB"/>
                  <w14:ligatures w14:val="none"/>
                </w:rPr>
                <w:t>IPCC guidelines for GHG emissions conversion and uncertainty accounting</w:t>
              </w:r>
            </w:hyperlink>
            <w:r>
              <w:rPr>
                <w:rFonts w:ascii="Calibri" w:eastAsia="Times New Roman" w:hAnsi="Calibri" w:cs="Calibri"/>
                <w:kern w:val="0"/>
                <w:lang w:eastAsia="en-GB"/>
                <w14:ligatures w14:val="none"/>
              </w:rPr>
              <w:t xml:space="preserve">. Additionally, the tool aligns with </w:t>
            </w:r>
            <w:hyperlink r:id="rId30" w:history="1">
              <w:r w:rsidRPr="00CF431C">
                <w:rPr>
                  <w:rStyle w:val="Hyperlink"/>
                  <w:rFonts w:ascii="Calibri" w:eastAsia="Times New Roman" w:hAnsi="Calibri" w:cs="Calibri"/>
                  <w:kern w:val="0"/>
                  <w:lang w:eastAsia="en-GB"/>
                  <w14:ligatures w14:val="none"/>
                </w:rPr>
                <w:t>UN SDGs</w:t>
              </w:r>
            </w:hyperlink>
            <w:r>
              <w:rPr>
                <w:rFonts w:ascii="Calibri" w:eastAsia="Times New Roman" w:hAnsi="Calibri" w:cs="Calibri"/>
                <w:kern w:val="0"/>
                <w:lang w:eastAsia="en-GB"/>
                <w14:ligatures w14:val="none"/>
              </w:rPr>
              <w:t xml:space="preserve">, </w:t>
            </w:r>
            <w:hyperlink r:id="rId31" w:history="1">
              <w:r w:rsidRPr="00230AC2">
                <w:rPr>
                  <w:rStyle w:val="Hyperlink"/>
                  <w:rFonts w:ascii="Calibri" w:eastAsia="Times New Roman" w:hAnsi="Calibri" w:cs="Calibri"/>
                  <w:kern w:val="0"/>
                  <w:lang w:eastAsia="en-GB"/>
                  <w14:ligatures w14:val="none"/>
                </w:rPr>
                <w:t>Article 6.4 Sustainable Development Tool</w:t>
              </w:r>
            </w:hyperlink>
            <w:r>
              <w:rPr>
                <w:rFonts w:ascii="Calibri" w:eastAsia="Times New Roman" w:hAnsi="Calibri" w:cs="Calibri"/>
                <w:kern w:val="0"/>
                <w:lang w:eastAsia="en-GB"/>
                <w14:ligatures w14:val="none"/>
              </w:rPr>
              <w:t>, and various Indian standards and legal requirements.</w:t>
            </w:r>
          </w:p>
        </w:tc>
      </w:tr>
      <w:tr w:rsidR="00FE7FA5" w:rsidRPr="00CF2E7C" w14:paraId="0AFDA91E"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03EC1DA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7E98">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from indigenous and local </w:t>
            </w:r>
            <w:r w:rsidRPr="00CF2E7C">
              <w:rPr>
                <w:rFonts w:ascii="Calibri" w:eastAsia="Times New Roman" w:hAnsi="Calibri" w:cs="Calibri"/>
                <w:kern w:val="0"/>
                <w:lang w:eastAsia="en-GB"/>
                <w14:ligatures w14:val="none"/>
              </w:rPr>
              <w:lastRenderedPageBreak/>
              <w:t>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355853D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40427">
              <w:rPr>
                <w:rFonts w:ascii="Calibri" w:eastAsia="Times New Roman" w:hAnsi="Calibri" w:cs="Calibri"/>
                <w:kern w:val="0"/>
                <w:lang w:eastAsia="en-GB"/>
                <w14:ligatures w14:val="none"/>
              </w:rPr>
              <w:t>X</w:t>
            </w:r>
          </w:p>
        </w:tc>
      </w:tr>
      <w:tr w:rsidR="00FE7FA5" w:rsidRPr="00CF2E7C" w14:paraId="1EAA687B"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56F7424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7E98">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4AFC2D1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47E98">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61E9E0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40427">
              <w:rPr>
                <w:rFonts w:ascii="Calibri" w:eastAsia="Times New Roman" w:hAnsi="Calibri" w:cs="Calibri"/>
                <w:kern w:val="0"/>
                <w:lang w:eastAsia="en-GB"/>
                <w14:ligatures w14:val="none"/>
              </w:rPr>
              <w:t>X</w:t>
            </w:r>
          </w:p>
        </w:tc>
      </w:tr>
      <w:tr w:rsidR="00FE7FA5" w:rsidRPr="00CF2E7C" w14:paraId="64161254"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6A55E8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40427">
              <w:rPr>
                <w:rFonts w:ascii="Calibri" w:eastAsia="Times New Roman" w:hAnsi="Calibri" w:cs="Calibri"/>
                <w:kern w:val="0"/>
                <w:lang w:eastAsia="en-GB"/>
                <w14:ligatures w14:val="none"/>
              </w:rPr>
              <w:t>X</w:t>
            </w:r>
          </w:p>
        </w:tc>
      </w:tr>
      <w:tr w:rsidR="00834370" w:rsidRPr="00CF2E7C" w14:paraId="502ADC2F" w14:textId="77777777" w:rsidTr="00247E98">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AE1ACD" w:rsidRPr="00CF2E7C" w14:paraId="3762CC39" w14:textId="77777777" w:rsidTr="00247E98">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AE1ACD" w:rsidRPr="00CF2E7C" w:rsidRDefault="00AE1ACD" w:rsidP="00AE1ACD">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2BEF52" w14:textId="77777777" w:rsidR="00AE1ACD" w:rsidRDefault="00AE1ACD" w:rsidP="00AE1ACD">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significantly safeguards the social integrity of carbon credits. This is achieved through two main methods:</w:t>
            </w:r>
          </w:p>
          <w:p w14:paraId="0F890D1C" w14:textId="77777777" w:rsidR="00AE1ACD" w:rsidRDefault="00AE1ACD" w:rsidP="00AE1ACD">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Local Stakeholder Consultation: A stakeholder consultation must be conducted before the submission of the Project Description Document (PDD) for validation. Refer to Section B4.11 of the Detailed Procedure for Offset Mechanism.</w:t>
            </w:r>
          </w:p>
          <w:p w14:paraId="2042A28D" w14:textId="47D87603" w:rsidR="00AE1ACD" w:rsidRPr="00033A1A" w:rsidRDefault="00AE1ACD" w:rsidP="00033A1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Sustainable Development Goals (SDG) Standard: The project must align with the Sustainable Development Goals (SDGs) as outlined in Section D of the Detailed Procedure for Offset Mechanism.</w:t>
            </w: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13C0D7CC" w:rsidR="00FE7FA5" w:rsidRPr="009C4D10" w:rsidRDefault="00AE1AC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07AE634E" w:rsidR="00FE7FA5" w:rsidRPr="009C4D10" w:rsidRDefault="00AE1AC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5CA02ACB" w14:textId="77777777" w:rsidR="00AE1ACD" w:rsidRDefault="00AE1ACD" w:rsidP="00AE1ACD">
            <w:pPr>
              <w:textAlignment w:val="baseline"/>
              <w:rPr>
                <w:rFonts w:eastAsia="Times New Roman" w:cstheme="minorHAnsi"/>
                <w:kern w:val="0"/>
                <w:lang w:eastAsia="en-GB"/>
                <w14:ligatures w14:val="none"/>
              </w:rPr>
            </w:pPr>
            <w:r w:rsidRPr="00AE1ACD">
              <w:rPr>
                <w:rFonts w:eastAsia="Times New Roman" w:cstheme="minorHAnsi"/>
                <w:kern w:val="0"/>
                <w:lang w:eastAsia="en-GB"/>
                <w14:ligatures w14:val="none"/>
              </w:rPr>
              <w:t>The policy tool explicitly acknowledges and integrates provisions related to Article 6 of the Paris Agreement:</w:t>
            </w:r>
          </w:p>
          <w:p w14:paraId="6AA3DD01" w14:textId="77777777" w:rsidR="00FB2BD3" w:rsidRDefault="00AE1ACD" w:rsidP="00AE1ACD">
            <w:pPr>
              <w:pStyle w:val="ListParagraph"/>
              <w:numPr>
                <w:ilvl w:val="0"/>
                <w:numId w:val="53"/>
              </w:numPr>
              <w:jc w:val="both"/>
              <w:textAlignment w:val="baseline"/>
              <w:rPr>
                <w:rFonts w:ascii="Calibri" w:eastAsia="Times New Roman" w:hAnsi="Calibri" w:cs="Calibri"/>
                <w:kern w:val="0"/>
                <w:lang w:eastAsia="en-GB"/>
                <w14:ligatures w14:val="none"/>
              </w:rPr>
            </w:pPr>
            <w:r w:rsidRPr="00033A1A">
              <w:rPr>
                <w:rFonts w:eastAsia="Times New Roman" w:cstheme="minorHAnsi"/>
                <w:kern w:val="0"/>
                <w:lang w:eastAsia="en-GB"/>
                <w14:ligatures w14:val="none"/>
              </w:rPr>
              <w:t>Article 6.2 Integration: Allows trading/transferring of Carbon Credit Certificates (CCCs) internationally if the offset project activity aligns with MoEFCC’s finalised activities under Article 6.2. [</w:t>
            </w:r>
            <w:r w:rsidRPr="00033A1A">
              <w:rPr>
                <w:rFonts w:ascii="Calibri" w:eastAsia="Times New Roman" w:hAnsi="Calibri" w:cs="Calibri"/>
                <w:kern w:val="0"/>
                <w:lang w:eastAsia="en-GB"/>
                <w14:ligatures w14:val="none"/>
              </w:rPr>
              <w:t>Section A</w:t>
            </w:r>
            <w:r w:rsidR="00FB2BD3" w:rsidRPr="00033A1A">
              <w:rPr>
                <w:rFonts w:ascii="Calibri" w:eastAsia="Times New Roman" w:hAnsi="Calibri" w:cs="Calibri"/>
                <w:kern w:val="0"/>
                <w:lang w:eastAsia="en-GB"/>
                <w14:ligatures w14:val="none"/>
              </w:rPr>
              <w:t>7.2.3 &amp; A7.2.4</w:t>
            </w:r>
            <w:r w:rsidRPr="00033A1A">
              <w:rPr>
                <w:rFonts w:ascii="Calibri" w:eastAsia="Times New Roman" w:hAnsi="Calibri" w:cs="Calibri"/>
                <w:kern w:val="0"/>
                <w:lang w:eastAsia="en-GB"/>
                <w14:ligatures w14:val="none"/>
              </w:rPr>
              <w:t xml:space="preserve"> of the Detailed Procedure for Offset Mechanism</w:t>
            </w:r>
            <w:r w:rsidR="00FB2BD3" w:rsidRPr="00033A1A">
              <w:rPr>
                <w:rFonts w:ascii="Calibri" w:eastAsia="Times New Roman" w:hAnsi="Calibri" w:cs="Calibri"/>
                <w:kern w:val="0"/>
                <w:lang w:eastAsia="en-GB"/>
                <w14:ligatures w14:val="none"/>
              </w:rPr>
              <w:t>]</w:t>
            </w:r>
          </w:p>
          <w:p w14:paraId="34A6879E" w14:textId="5B190A10" w:rsidR="00AE1ACD" w:rsidRPr="00033A1A" w:rsidRDefault="00AE1ACD" w:rsidP="00033A1A">
            <w:pPr>
              <w:pStyle w:val="ListParagraph"/>
              <w:numPr>
                <w:ilvl w:val="0"/>
                <w:numId w:val="53"/>
              </w:numPr>
              <w:jc w:val="both"/>
              <w:textAlignment w:val="baseline"/>
              <w:rPr>
                <w:rFonts w:ascii="Calibri" w:eastAsia="Times New Roman" w:hAnsi="Calibri" w:cs="Calibri"/>
                <w:kern w:val="0"/>
                <w:lang w:eastAsia="en-GB"/>
                <w14:ligatures w14:val="none"/>
              </w:rPr>
            </w:pPr>
            <w:r w:rsidRPr="00033A1A">
              <w:rPr>
                <w:rFonts w:eastAsia="Times New Roman" w:cstheme="minorHAnsi"/>
                <w:kern w:val="0"/>
                <w:lang w:eastAsia="en-GB"/>
                <w14:ligatures w14:val="none"/>
              </w:rPr>
              <w:t>Article 6.4 Integration: Methodologies approved under Article 6.4 can be adopted, and the SDG Standard references the Article 6.4 Sustainable Development Tool for environmental and social safeguards.</w:t>
            </w:r>
            <w:r w:rsidR="00FB2BD3" w:rsidRPr="00033A1A">
              <w:rPr>
                <w:rFonts w:eastAsia="Times New Roman" w:cstheme="minorHAnsi"/>
                <w:kern w:val="0"/>
                <w:lang w:eastAsia="en-GB"/>
                <w14:ligatures w14:val="none"/>
              </w:rPr>
              <w:t xml:space="preserve"> [</w:t>
            </w:r>
            <w:r w:rsidR="00FB2BD3" w:rsidRPr="00033A1A">
              <w:rPr>
                <w:rFonts w:ascii="Calibri" w:eastAsia="Times New Roman" w:hAnsi="Calibri" w:cs="Calibri"/>
                <w:kern w:val="0"/>
                <w:lang w:eastAsia="en-GB"/>
                <w14:ligatures w14:val="none"/>
              </w:rPr>
              <w:t>Section D of the Detailed Procedure for Offset Mechanism]</w:t>
            </w:r>
          </w:p>
          <w:p w14:paraId="08F9B0DF" w14:textId="6AB21540" w:rsidR="00AE1ACD" w:rsidRPr="009C4D10" w:rsidRDefault="00AE1ACD" w:rsidP="00AE1ACD">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033A1A">
        <w:trPr>
          <w:trHeight w:val="636"/>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C2CF193" w14:textId="77777777" w:rsidR="000B24AC" w:rsidRPr="000B24AC" w:rsidRDefault="000B24AC" w:rsidP="00033A1A">
            <w:pPr>
              <w:jc w:val="both"/>
              <w:textAlignment w:val="baseline"/>
              <w:rPr>
                <w:rFonts w:eastAsia="Times New Roman" w:cstheme="minorHAnsi"/>
                <w:kern w:val="0"/>
                <w:lang w:eastAsia="en-GB"/>
                <w14:ligatures w14:val="none"/>
              </w:rPr>
            </w:pPr>
            <w:r w:rsidRPr="000B24AC">
              <w:rPr>
                <w:rFonts w:eastAsia="Times New Roman" w:cstheme="minorHAnsi"/>
                <w:kern w:val="0"/>
                <w:lang w:eastAsia="en-GB"/>
                <w14:ligatures w14:val="none"/>
              </w:rPr>
              <w:t>The policy tool ensures market integrity through several key mechanisms:</w:t>
            </w:r>
          </w:p>
          <w:p w14:paraId="12F7D7B0" w14:textId="52CB522E" w:rsidR="000B24AC" w:rsidRDefault="000B24AC" w:rsidP="000B24AC">
            <w:pPr>
              <w:pStyle w:val="ListParagraph"/>
              <w:numPr>
                <w:ilvl w:val="0"/>
                <w:numId w:val="54"/>
              </w:numPr>
              <w:jc w:val="both"/>
              <w:textAlignment w:val="baseline"/>
              <w:rPr>
                <w:rFonts w:eastAsia="Times New Roman" w:cstheme="minorHAnsi"/>
                <w:kern w:val="0"/>
                <w:lang w:eastAsia="en-GB"/>
                <w14:ligatures w14:val="none"/>
              </w:rPr>
            </w:pPr>
            <w:r w:rsidRPr="00033A1A">
              <w:rPr>
                <w:rFonts w:eastAsia="Times New Roman" w:cstheme="minorHAnsi"/>
                <w:kern w:val="0"/>
                <w:lang w:eastAsia="en-GB"/>
                <w14:ligatures w14:val="none"/>
              </w:rPr>
              <w:lastRenderedPageBreak/>
              <w:t xml:space="preserve">Market Oversight: CERC safeguards buyers and sellers’ interests, provides oversight, and prevents fraud. A secure database maintained by Grid Controller of India Limited ensures carbon credit certificates and transaction records are not </w:t>
            </w:r>
            <w:r w:rsidR="00370428" w:rsidRPr="00370428">
              <w:rPr>
                <w:rFonts w:eastAsia="Times New Roman" w:cstheme="minorHAnsi"/>
                <w:kern w:val="0"/>
                <w:lang w:eastAsia="en-GB"/>
                <w14:ligatures w14:val="none"/>
              </w:rPr>
              <w:t>double issued</w:t>
            </w:r>
            <w:r w:rsidRPr="00033A1A">
              <w:rPr>
                <w:rFonts w:eastAsia="Times New Roman" w:cstheme="minorHAnsi"/>
                <w:kern w:val="0"/>
                <w:lang w:eastAsia="en-GB"/>
                <w14:ligatures w14:val="none"/>
              </w:rPr>
              <w:t xml:space="preserve">. </w:t>
            </w:r>
          </w:p>
          <w:p w14:paraId="338A4AB7" w14:textId="77777777" w:rsidR="000B24AC" w:rsidRDefault="000B24AC" w:rsidP="000B24AC">
            <w:pPr>
              <w:pStyle w:val="ListParagraph"/>
              <w:numPr>
                <w:ilvl w:val="0"/>
                <w:numId w:val="54"/>
              </w:numPr>
              <w:jc w:val="both"/>
              <w:textAlignment w:val="baseline"/>
              <w:rPr>
                <w:rFonts w:eastAsia="Times New Roman" w:cstheme="minorHAnsi"/>
                <w:kern w:val="0"/>
                <w:lang w:eastAsia="en-GB"/>
                <w14:ligatures w14:val="none"/>
              </w:rPr>
            </w:pPr>
            <w:r w:rsidRPr="00033A1A">
              <w:rPr>
                <w:rFonts w:eastAsia="Times New Roman" w:cstheme="minorHAnsi"/>
                <w:kern w:val="0"/>
                <w:lang w:eastAsia="en-GB"/>
                <w14:ligatures w14:val="none"/>
              </w:rPr>
              <w:t xml:space="preserve">Verification and Accreditation: ACVAs independently validate projects to ensure GHG emission reductions or removals are real, measurable, and additional. </w:t>
            </w:r>
          </w:p>
          <w:p w14:paraId="4656A85F" w14:textId="36DF674A" w:rsidR="000B24AC" w:rsidRPr="00033A1A" w:rsidRDefault="000B24AC" w:rsidP="00033A1A">
            <w:pPr>
              <w:pStyle w:val="ListParagraph"/>
              <w:numPr>
                <w:ilvl w:val="0"/>
                <w:numId w:val="54"/>
              </w:numPr>
              <w:jc w:val="both"/>
              <w:textAlignment w:val="baseline"/>
              <w:rPr>
                <w:rFonts w:eastAsia="Times New Roman" w:cstheme="minorHAnsi"/>
                <w:kern w:val="0"/>
                <w:lang w:eastAsia="en-GB"/>
                <w14:ligatures w14:val="none"/>
              </w:rPr>
            </w:pPr>
            <w:r w:rsidRPr="00033A1A">
              <w:rPr>
                <w:rFonts w:eastAsia="Times New Roman" w:cstheme="minorHAnsi"/>
                <w:kern w:val="0"/>
                <w:lang w:eastAsia="en-GB"/>
                <w14:ligatures w14:val="none"/>
              </w:rPr>
              <w:t xml:space="preserve">Double counting is prevented through transparent listing in the registry and adjustments for international transfers (as detailed in Q4.24). </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CD063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3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3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CD063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C82C54C" w14:textId="77777777" w:rsidR="00B47AF6" w:rsidRDefault="00B47AF6" w:rsidP="00874E39">
      <w:r>
        <w:separator/>
      </w:r>
    </w:p>
  </w:endnote>
  <w:endnote w:type="continuationSeparator" w:id="0">
    <w:p w14:paraId="70D39497" w14:textId="77777777" w:rsidR="00B47AF6" w:rsidRDefault="00B47AF6" w:rsidP="00874E39">
      <w:r>
        <w:continuationSeparator/>
      </w:r>
    </w:p>
  </w:endnote>
  <w:endnote w:type="continuationNotice" w:id="1">
    <w:p w14:paraId="76300EDE" w14:textId="77777777" w:rsidR="00B47AF6" w:rsidRDefault="00B47AF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w:altName w:val="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671B5F" w14:textId="77777777" w:rsidR="00B47AF6" w:rsidRDefault="00B47AF6" w:rsidP="00874E39">
      <w:r>
        <w:separator/>
      </w:r>
    </w:p>
  </w:footnote>
  <w:footnote w:type="continuationSeparator" w:id="0">
    <w:p w14:paraId="4F5358DC" w14:textId="77777777" w:rsidR="00B47AF6" w:rsidRDefault="00B47AF6" w:rsidP="00874E39">
      <w:r>
        <w:continuationSeparator/>
      </w:r>
    </w:p>
  </w:footnote>
  <w:footnote w:type="continuationNotice" w:id="1">
    <w:p w14:paraId="43D4E621" w14:textId="77777777" w:rsidR="00B47AF6" w:rsidRDefault="00B47AF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53708B4"/>
    <w:multiLevelType w:val="hybridMultilevel"/>
    <w:tmpl w:val="2420400C"/>
    <w:lvl w:ilvl="0" w:tplc="FFFFFFFF">
      <w:start w:val="1"/>
      <w:numFmt w:val="decimal"/>
      <w:lvlText w:val="%1."/>
      <w:lvlJc w:val="left"/>
      <w:pPr>
        <w:ind w:left="502" w:hanging="360"/>
      </w:pPr>
      <w:rPr>
        <w:rFonts w:hint="default"/>
      </w:r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D63244"/>
    <w:multiLevelType w:val="hybridMultilevel"/>
    <w:tmpl w:val="2DC64B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4641E1"/>
    <w:multiLevelType w:val="hybridMultilevel"/>
    <w:tmpl w:val="173A56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20A5257"/>
    <w:multiLevelType w:val="hybridMultilevel"/>
    <w:tmpl w:val="FA681DF2"/>
    <w:lvl w:ilvl="0" w:tplc="4D10C45E">
      <w:start w:val="135"/>
      <w:numFmt w:val="bullet"/>
      <w:lvlText w:val="-"/>
      <w:lvlJc w:val="left"/>
      <w:pPr>
        <w:ind w:left="720" w:hanging="360"/>
      </w:pPr>
      <w:rPr>
        <w:rFonts w:ascii="Aptos" w:eastAsiaTheme="minorHAnsi" w:hAnsi="Aptos"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52F16BB"/>
    <w:multiLevelType w:val="hybridMultilevel"/>
    <w:tmpl w:val="563829CE"/>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7B35EED"/>
    <w:multiLevelType w:val="hybridMultilevel"/>
    <w:tmpl w:val="3D10FF5C"/>
    <w:lvl w:ilvl="0" w:tplc="90F80620">
      <w:start w:val="1"/>
      <w:numFmt w:val="bullet"/>
      <w:lvlText w:val="-"/>
      <w:lvlJc w:val="left"/>
      <w:pPr>
        <w:ind w:left="360" w:hanging="360"/>
      </w:pPr>
      <w:rPr>
        <w:rFonts w:ascii="Calibri" w:eastAsiaTheme="minorHAnsi" w:hAnsi="Calibri" w:cs="Calibr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4" w15:restartNumberingAfterBreak="0">
    <w:nsid w:val="7EB962B7"/>
    <w:multiLevelType w:val="hybridMultilevel"/>
    <w:tmpl w:val="88384A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6"/>
  </w:num>
  <w:num w:numId="4" w16cid:durableId="1689330127">
    <w:abstractNumId w:val="1"/>
  </w:num>
  <w:num w:numId="5" w16cid:durableId="401291788">
    <w:abstractNumId w:val="30"/>
  </w:num>
  <w:num w:numId="6" w16cid:durableId="1276788690">
    <w:abstractNumId w:val="14"/>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3"/>
  </w:num>
  <w:num w:numId="12" w16cid:durableId="1344891410">
    <w:abstractNumId w:val="10"/>
  </w:num>
  <w:num w:numId="13" w16cid:durableId="2023899324">
    <w:abstractNumId w:val="12"/>
  </w:num>
  <w:num w:numId="14" w16cid:durableId="430587014">
    <w:abstractNumId w:val="7"/>
  </w:num>
  <w:num w:numId="15" w16cid:durableId="1742869061">
    <w:abstractNumId w:val="32"/>
  </w:num>
  <w:num w:numId="16" w16cid:durableId="1996450437">
    <w:abstractNumId w:val="20"/>
  </w:num>
  <w:num w:numId="17" w16cid:durableId="1529031027">
    <w:abstractNumId w:val="9"/>
  </w:num>
  <w:num w:numId="18" w16cid:durableId="568614617">
    <w:abstractNumId w:val="18"/>
  </w:num>
  <w:num w:numId="19" w16cid:durableId="1530605858">
    <w:abstractNumId w:val="47"/>
  </w:num>
  <w:num w:numId="20" w16cid:durableId="1328172586">
    <w:abstractNumId w:val="16"/>
  </w:num>
  <w:num w:numId="21" w16cid:durableId="184827816">
    <w:abstractNumId w:val="29"/>
  </w:num>
  <w:num w:numId="22" w16cid:durableId="1785346599">
    <w:abstractNumId w:val="35"/>
  </w:num>
  <w:num w:numId="23" w16cid:durableId="1294288901">
    <w:abstractNumId w:val="28"/>
  </w:num>
  <w:num w:numId="24" w16cid:durableId="1603957975">
    <w:abstractNumId w:val="49"/>
  </w:num>
  <w:num w:numId="25" w16cid:durableId="1659531047">
    <w:abstractNumId w:val="48"/>
  </w:num>
  <w:num w:numId="26" w16cid:durableId="752774403">
    <w:abstractNumId w:val="24"/>
  </w:num>
  <w:num w:numId="27" w16cid:durableId="347872198">
    <w:abstractNumId w:val="6"/>
  </w:num>
  <w:num w:numId="28" w16cid:durableId="537133110">
    <w:abstractNumId w:val="13"/>
  </w:num>
  <w:num w:numId="29" w16cid:durableId="1632318729">
    <w:abstractNumId w:val="50"/>
  </w:num>
  <w:num w:numId="30" w16cid:durableId="1268124074">
    <w:abstractNumId w:val="34"/>
  </w:num>
  <w:num w:numId="31" w16cid:durableId="887108748">
    <w:abstractNumId w:val="31"/>
  </w:num>
  <w:num w:numId="32" w16cid:durableId="1826125712">
    <w:abstractNumId w:val="37"/>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51"/>
  </w:num>
  <w:num w:numId="47" w16cid:durableId="342588554">
    <w:abstractNumId w:val="27"/>
  </w:num>
  <w:num w:numId="48" w16cid:durableId="318391343">
    <w:abstractNumId w:val="39"/>
  </w:num>
  <w:num w:numId="49" w16cid:durableId="334917575">
    <w:abstractNumId w:val="52"/>
  </w:num>
  <w:num w:numId="50" w16cid:durableId="2123529975">
    <w:abstractNumId w:val="44"/>
  </w:num>
  <w:num w:numId="51" w16cid:durableId="2072464945">
    <w:abstractNumId w:val="54"/>
  </w:num>
  <w:num w:numId="52" w16cid:durableId="1258175146">
    <w:abstractNumId w:val="38"/>
  </w:num>
  <w:num w:numId="53" w16cid:durableId="1149901010">
    <w:abstractNumId w:val="45"/>
  </w:num>
  <w:num w:numId="54" w16cid:durableId="468397577">
    <w:abstractNumId w:val="22"/>
  </w:num>
  <w:num w:numId="55" w16cid:durableId="226383644">
    <w:abstractNumId w:val="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6"/>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A1A"/>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342D"/>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7162"/>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4AC"/>
    <w:rsid w:val="000B37B0"/>
    <w:rsid w:val="000B3F66"/>
    <w:rsid w:val="000B3F68"/>
    <w:rsid w:val="000B4374"/>
    <w:rsid w:val="000B719B"/>
    <w:rsid w:val="000C1982"/>
    <w:rsid w:val="000C2857"/>
    <w:rsid w:val="000C3D3C"/>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10A8"/>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608"/>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08B"/>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DBD"/>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0AC2"/>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47E98"/>
    <w:rsid w:val="002500FA"/>
    <w:rsid w:val="00250ED8"/>
    <w:rsid w:val="00250F54"/>
    <w:rsid w:val="0025129B"/>
    <w:rsid w:val="0025449C"/>
    <w:rsid w:val="002552C9"/>
    <w:rsid w:val="0025765F"/>
    <w:rsid w:val="00257732"/>
    <w:rsid w:val="00257975"/>
    <w:rsid w:val="00264CBC"/>
    <w:rsid w:val="0026588F"/>
    <w:rsid w:val="0026642F"/>
    <w:rsid w:val="002679A5"/>
    <w:rsid w:val="0027067C"/>
    <w:rsid w:val="00270A4D"/>
    <w:rsid w:val="002727BE"/>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1F06"/>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754"/>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428"/>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681"/>
    <w:rsid w:val="00392F82"/>
    <w:rsid w:val="0039353D"/>
    <w:rsid w:val="003937AD"/>
    <w:rsid w:val="00393BA9"/>
    <w:rsid w:val="0039625A"/>
    <w:rsid w:val="003A0C73"/>
    <w:rsid w:val="003A144F"/>
    <w:rsid w:val="003A2976"/>
    <w:rsid w:val="003A2E5E"/>
    <w:rsid w:val="003A48E1"/>
    <w:rsid w:val="003A4A9F"/>
    <w:rsid w:val="003A52E3"/>
    <w:rsid w:val="003A5B03"/>
    <w:rsid w:val="003B0628"/>
    <w:rsid w:val="003B1689"/>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4836"/>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0C9"/>
    <w:rsid w:val="00454B49"/>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1172"/>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0A7C"/>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6F9"/>
    <w:rsid w:val="00576C68"/>
    <w:rsid w:val="00576ED8"/>
    <w:rsid w:val="005774C5"/>
    <w:rsid w:val="00580679"/>
    <w:rsid w:val="0058109E"/>
    <w:rsid w:val="005825CC"/>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AD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2C8"/>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84B"/>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6C8"/>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10CF"/>
    <w:rsid w:val="008B1716"/>
    <w:rsid w:val="008B2418"/>
    <w:rsid w:val="008B4536"/>
    <w:rsid w:val="008B5DC5"/>
    <w:rsid w:val="008B79FC"/>
    <w:rsid w:val="008B7E8C"/>
    <w:rsid w:val="008B7F82"/>
    <w:rsid w:val="008C07E1"/>
    <w:rsid w:val="008C0FA6"/>
    <w:rsid w:val="008C1F8D"/>
    <w:rsid w:val="008C2AC5"/>
    <w:rsid w:val="008C2E61"/>
    <w:rsid w:val="008C4722"/>
    <w:rsid w:val="008C5525"/>
    <w:rsid w:val="008C718C"/>
    <w:rsid w:val="008C7352"/>
    <w:rsid w:val="008C78AD"/>
    <w:rsid w:val="008C7C90"/>
    <w:rsid w:val="008D018C"/>
    <w:rsid w:val="008D02DA"/>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4A0B"/>
    <w:rsid w:val="00926863"/>
    <w:rsid w:val="00926D7F"/>
    <w:rsid w:val="009307C9"/>
    <w:rsid w:val="0093086E"/>
    <w:rsid w:val="00931F08"/>
    <w:rsid w:val="00932230"/>
    <w:rsid w:val="0093344C"/>
    <w:rsid w:val="009338F2"/>
    <w:rsid w:val="00933F3C"/>
    <w:rsid w:val="00934657"/>
    <w:rsid w:val="00936DE8"/>
    <w:rsid w:val="009370E9"/>
    <w:rsid w:val="00937D9B"/>
    <w:rsid w:val="00940E65"/>
    <w:rsid w:val="0094115B"/>
    <w:rsid w:val="00945707"/>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0E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7F1"/>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EA7"/>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3F5B"/>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427"/>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0E1"/>
    <w:rsid w:val="00A9656E"/>
    <w:rsid w:val="00AA186B"/>
    <w:rsid w:val="00AA38F6"/>
    <w:rsid w:val="00AA4965"/>
    <w:rsid w:val="00AA6DDB"/>
    <w:rsid w:val="00AB0830"/>
    <w:rsid w:val="00AB2CCC"/>
    <w:rsid w:val="00AB4138"/>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B67"/>
    <w:rsid w:val="00AE1ACD"/>
    <w:rsid w:val="00AE2662"/>
    <w:rsid w:val="00AE3CBD"/>
    <w:rsid w:val="00AE4384"/>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1C17"/>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AA0"/>
    <w:rsid w:val="00B43E73"/>
    <w:rsid w:val="00B4464A"/>
    <w:rsid w:val="00B44FFE"/>
    <w:rsid w:val="00B45AE1"/>
    <w:rsid w:val="00B460A9"/>
    <w:rsid w:val="00B4642E"/>
    <w:rsid w:val="00B4729B"/>
    <w:rsid w:val="00B47460"/>
    <w:rsid w:val="00B47AF6"/>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026"/>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0F19"/>
    <w:rsid w:val="00BE13CB"/>
    <w:rsid w:val="00BE1F9E"/>
    <w:rsid w:val="00BE2557"/>
    <w:rsid w:val="00BE2BF8"/>
    <w:rsid w:val="00BE3B1E"/>
    <w:rsid w:val="00BE46F4"/>
    <w:rsid w:val="00BE4F54"/>
    <w:rsid w:val="00BE525E"/>
    <w:rsid w:val="00BE5C59"/>
    <w:rsid w:val="00BE627E"/>
    <w:rsid w:val="00BE71DD"/>
    <w:rsid w:val="00BF20B8"/>
    <w:rsid w:val="00BF2BCA"/>
    <w:rsid w:val="00BF3AE3"/>
    <w:rsid w:val="00BF4357"/>
    <w:rsid w:val="00BF5C7E"/>
    <w:rsid w:val="00BF5CAB"/>
    <w:rsid w:val="00BF60F9"/>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869"/>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1C"/>
    <w:rsid w:val="00CF4338"/>
    <w:rsid w:val="00CF5268"/>
    <w:rsid w:val="00CF57A6"/>
    <w:rsid w:val="00CF5976"/>
    <w:rsid w:val="00CF5D92"/>
    <w:rsid w:val="00D004AD"/>
    <w:rsid w:val="00D01B92"/>
    <w:rsid w:val="00D02935"/>
    <w:rsid w:val="00D02C80"/>
    <w:rsid w:val="00D02FA1"/>
    <w:rsid w:val="00D056E9"/>
    <w:rsid w:val="00D07A89"/>
    <w:rsid w:val="00D1122F"/>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7CC"/>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50"/>
    <w:rsid w:val="00D637B2"/>
    <w:rsid w:val="00D6386F"/>
    <w:rsid w:val="00D66DDD"/>
    <w:rsid w:val="00D67EB7"/>
    <w:rsid w:val="00D70367"/>
    <w:rsid w:val="00D75343"/>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450"/>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4479"/>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5F62"/>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638"/>
    <w:rsid w:val="00EB39B5"/>
    <w:rsid w:val="00EB3C6C"/>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5826"/>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748F"/>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BD3"/>
    <w:rsid w:val="00FB5A70"/>
    <w:rsid w:val="00FC0689"/>
    <w:rsid w:val="00FC13F0"/>
    <w:rsid w:val="00FC1CE5"/>
    <w:rsid w:val="00FC1DE9"/>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83081">
      <w:bodyDiv w:val="1"/>
      <w:marLeft w:val="0"/>
      <w:marRight w:val="0"/>
      <w:marTop w:val="0"/>
      <w:marBottom w:val="0"/>
      <w:divBdr>
        <w:top w:val="none" w:sz="0" w:space="0" w:color="auto"/>
        <w:left w:val="none" w:sz="0" w:space="0" w:color="auto"/>
        <w:bottom w:val="none" w:sz="0" w:space="0" w:color="auto"/>
        <w:right w:val="none" w:sz="0" w:space="0" w:color="auto"/>
      </w:divBdr>
      <w:divsChild>
        <w:div w:id="374088900">
          <w:marLeft w:val="0"/>
          <w:marRight w:val="0"/>
          <w:marTop w:val="0"/>
          <w:marBottom w:val="0"/>
          <w:divBdr>
            <w:top w:val="none" w:sz="0" w:space="0" w:color="auto"/>
            <w:left w:val="none" w:sz="0" w:space="0" w:color="auto"/>
            <w:bottom w:val="none" w:sz="0" w:space="0" w:color="auto"/>
            <w:right w:val="none" w:sz="0" w:space="0" w:color="auto"/>
          </w:divBdr>
        </w:div>
        <w:div w:id="182017430">
          <w:marLeft w:val="0"/>
          <w:marRight w:val="0"/>
          <w:marTop w:val="0"/>
          <w:marBottom w:val="0"/>
          <w:divBdr>
            <w:top w:val="none" w:sz="0" w:space="0" w:color="auto"/>
            <w:left w:val="none" w:sz="0" w:space="0" w:color="auto"/>
            <w:bottom w:val="none" w:sz="0" w:space="0" w:color="auto"/>
            <w:right w:val="none" w:sz="0" w:space="0" w:color="auto"/>
          </w:divBdr>
        </w:div>
        <w:div w:id="1463494576">
          <w:marLeft w:val="0"/>
          <w:marRight w:val="0"/>
          <w:marTop w:val="0"/>
          <w:marBottom w:val="0"/>
          <w:divBdr>
            <w:top w:val="none" w:sz="0" w:space="0" w:color="auto"/>
            <w:left w:val="none" w:sz="0" w:space="0" w:color="auto"/>
            <w:bottom w:val="none" w:sz="0" w:space="0" w:color="auto"/>
            <w:right w:val="none" w:sz="0" w:space="0" w:color="auto"/>
          </w:divBdr>
        </w:div>
        <w:div w:id="394203862">
          <w:marLeft w:val="0"/>
          <w:marRight w:val="0"/>
          <w:marTop w:val="0"/>
          <w:marBottom w:val="0"/>
          <w:divBdr>
            <w:top w:val="none" w:sz="0" w:space="0" w:color="auto"/>
            <w:left w:val="none" w:sz="0" w:space="0" w:color="auto"/>
            <w:bottom w:val="none" w:sz="0" w:space="0" w:color="auto"/>
            <w:right w:val="none" w:sz="0" w:space="0" w:color="auto"/>
          </w:divBdr>
        </w:div>
        <w:div w:id="920216629">
          <w:marLeft w:val="0"/>
          <w:marRight w:val="0"/>
          <w:marTop w:val="0"/>
          <w:marBottom w:val="0"/>
          <w:divBdr>
            <w:top w:val="none" w:sz="0" w:space="0" w:color="auto"/>
            <w:left w:val="none" w:sz="0" w:space="0" w:color="auto"/>
            <w:bottom w:val="none" w:sz="0" w:space="0" w:color="auto"/>
            <w:right w:val="none" w:sz="0" w:space="0" w:color="auto"/>
          </w:divBdr>
        </w:div>
        <w:div w:id="1840727971">
          <w:marLeft w:val="0"/>
          <w:marRight w:val="0"/>
          <w:marTop w:val="0"/>
          <w:marBottom w:val="0"/>
          <w:divBdr>
            <w:top w:val="none" w:sz="0" w:space="0" w:color="auto"/>
            <w:left w:val="none" w:sz="0" w:space="0" w:color="auto"/>
            <w:bottom w:val="none" w:sz="0" w:space="0" w:color="auto"/>
            <w:right w:val="none" w:sz="0" w:space="0" w:color="auto"/>
          </w:divBdr>
        </w:div>
        <w:div w:id="1323896895">
          <w:marLeft w:val="0"/>
          <w:marRight w:val="0"/>
          <w:marTop w:val="0"/>
          <w:marBottom w:val="0"/>
          <w:divBdr>
            <w:top w:val="none" w:sz="0" w:space="0" w:color="auto"/>
            <w:left w:val="none" w:sz="0" w:space="0" w:color="auto"/>
            <w:bottom w:val="none" w:sz="0" w:space="0" w:color="auto"/>
            <w:right w:val="none" w:sz="0" w:space="0" w:color="auto"/>
          </w:divBdr>
        </w:div>
        <w:div w:id="1370835374">
          <w:marLeft w:val="0"/>
          <w:marRight w:val="0"/>
          <w:marTop w:val="0"/>
          <w:marBottom w:val="0"/>
          <w:divBdr>
            <w:top w:val="none" w:sz="0" w:space="0" w:color="auto"/>
            <w:left w:val="none" w:sz="0" w:space="0" w:color="auto"/>
            <w:bottom w:val="none" w:sz="0" w:space="0" w:color="auto"/>
            <w:right w:val="none" w:sz="0" w:space="0" w:color="auto"/>
          </w:divBdr>
        </w:div>
        <w:div w:id="1001929385">
          <w:marLeft w:val="0"/>
          <w:marRight w:val="0"/>
          <w:marTop w:val="0"/>
          <w:marBottom w:val="0"/>
          <w:divBdr>
            <w:top w:val="none" w:sz="0" w:space="0" w:color="auto"/>
            <w:left w:val="none" w:sz="0" w:space="0" w:color="auto"/>
            <w:bottom w:val="none" w:sz="0" w:space="0" w:color="auto"/>
            <w:right w:val="none" w:sz="0" w:space="0" w:color="auto"/>
          </w:divBdr>
        </w:div>
      </w:divsChild>
    </w:div>
    <w:div w:id="37822290">
      <w:bodyDiv w:val="1"/>
      <w:marLeft w:val="0"/>
      <w:marRight w:val="0"/>
      <w:marTop w:val="0"/>
      <w:marBottom w:val="0"/>
      <w:divBdr>
        <w:top w:val="none" w:sz="0" w:space="0" w:color="auto"/>
        <w:left w:val="none" w:sz="0" w:space="0" w:color="auto"/>
        <w:bottom w:val="none" w:sz="0" w:space="0" w:color="auto"/>
        <w:right w:val="none" w:sz="0" w:space="0" w:color="auto"/>
      </w:divBdr>
      <w:divsChild>
        <w:div w:id="1039011827">
          <w:marLeft w:val="0"/>
          <w:marRight w:val="0"/>
          <w:marTop w:val="0"/>
          <w:marBottom w:val="0"/>
          <w:divBdr>
            <w:top w:val="none" w:sz="0" w:space="0" w:color="auto"/>
            <w:left w:val="none" w:sz="0" w:space="0" w:color="auto"/>
            <w:bottom w:val="none" w:sz="0" w:space="0" w:color="auto"/>
            <w:right w:val="none" w:sz="0" w:space="0" w:color="auto"/>
          </w:divBdr>
        </w:div>
        <w:div w:id="1914658546">
          <w:marLeft w:val="0"/>
          <w:marRight w:val="0"/>
          <w:marTop w:val="0"/>
          <w:marBottom w:val="0"/>
          <w:divBdr>
            <w:top w:val="none" w:sz="0" w:space="0" w:color="auto"/>
            <w:left w:val="none" w:sz="0" w:space="0" w:color="auto"/>
            <w:bottom w:val="none" w:sz="0" w:space="0" w:color="auto"/>
            <w:right w:val="none" w:sz="0" w:space="0" w:color="auto"/>
          </w:divBdr>
        </w:div>
        <w:div w:id="389885089">
          <w:marLeft w:val="0"/>
          <w:marRight w:val="0"/>
          <w:marTop w:val="0"/>
          <w:marBottom w:val="0"/>
          <w:divBdr>
            <w:top w:val="none" w:sz="0" w:space="0" w:color="auto"/>
            <w:left w:val="none" w:sz="0" w:space="0" w:color="auto"/>
            <w:bottom w:val="none" w:sz="0" w:space="0" w:color="auto"/>
            <w:right w:val="none" w:sz="0" w:space="0" w:color="auto"/>
          </w:divBdr>
        </w:div>
        <w:div w:id="821193332">
          <w:marLeft w:val="0"/>
          <w:marRight w:val="0"/>
          <w:marTop w:val="0"/>
          <w:marBottom w:val="0"/>
          <w:divBdr>
            <w:top w:val="none" w:sz="0" w:space="0" w:color="auto"/>
            <w:left w:val="none" w:sz="0" w:space="0" w:color="auto"/>
            <w:bottom w:val="none" w:sz="0" w:space="0" w:color="auto"/>
            <w:right w:val="none" w:sz="0" w:space="0" w:color="auto"/>
          </w:divBdr>
        </w:div>
        <w:div w:id="2041320986">
          <w:marLeft w:val="0"/>
          <w:marRight w:val="0"/>
          <w:marTop w:val="0"/>
          <w:marBottom w:val="0"/>
          <w:divBdr>
            <w:top w:val="none" w:sz="0" w:space="0" w:color="auto"/>
            <w:left w:val="none" w:sz="0" w:space="0" w:color="auto"/>
            <w:bottom w:val="none" w:sz="0" w:space="0" w:color="auto"/>
            <w:right w:val="none" w:sz="0" w:space="0" w:color="auto"/>
          </w:divBdr>
        </w:div>
        <w:div w:id="1693872985">
          <w:marLeft w:val="0"/>
          <w:marRight w:val="0"/>
          <w:marTop w:val="0"/>
          <w:marBottom w:val="0"/>
          <w:divBdr>
            <w:top w:val="none" w:sz="0" w:space="0" w:color="auto"/>
            <w:left w:val="none" w:sz="0" w:space="0" w:color="auto"/>
            <w:bottom w:val="none" w:sz="0" w:space="0" w:color="auto"/>
            <w:right w:val="none" w:sz="0" w:space="0" w:color="auto"/>
          </w:divBdr>
        </w:div>
        <w:div w:id="1069962638">
          <w:marLeft w:val="0"/>
          <w:marRight w:val="0"/>
          <w:marTop w:val="0"/>
          <w:marBottom w:val="0"/>
          <w:divBdr>
            <w:top w:val="none" w:sz="0" w:space="0" w:color="auto"/>
            <w:left w:val="none" w:sz="0" w:space="0" w:color="auto"/>
            <w:bottom w:val="none" w:sz="0" w:space="0" w:color="auto"/>
            <w:right w:val="none" w:sz="0" w:space="0" w:color="auto"/>
          </w:divBdr>
        </w:div>
        <w:div w:id="1340353546">
          <w:marLeft w:val="0"/>
          <w:marRight w:val="0"/>
          <w:marTop w:val="0"/>
          <w:marBottom w:val="0"/>
          <w:divBdr>
            <w:top w:val="none" w:sz="0" w:space="0" w:color="auto"/>
            <w:left w:val="none" w:sz="0" w:space="0" w:color="auto"/>
            <w:bottom w:val="none" w:sz="0" w:space="0" w:color="auto"/>
            <w:right w:val="none" w:sz="0" w:space="0" w:color="auto"/>
          </w:divBdr>
        </w:div>
        <w:div w:id="534268305">
          <w:marLeft w:val="0"/>
          <w:marRight w:val="0"/>
          <w:marTop w:val="0"/>
          <w:marBottom w:val="0"/>
          <w:divBdr>
            <w:top w:val="none" w:sz="0" w:space="0" w:color="auto"/>
            <w:left w:val="none" w:sz="0" w:space="0" w:color="auto"/>
            <w:bottom w:val="none" w:sz="0" w:space="0" w:color="auto"/>
            <w:right w:val="none" w:sz="0" w:space="0" w:color="auto"/>
          </w:divBdr>
        </w:div>
        <w:div w:id="1323780917">
          <w:marLeft w:val="0"/>
          <w:marRight w:val="0"/>
          <w:marTop w:val="0"/>
          <w:marBottom w:val="0"/>
          <w:divBdr>
            <w:top w:val="none" w:sz="0" w:space="0" w:color="auto"/>
            <w:left w:val="none" w:sz="0" w:space="0" w:color="auto"/>
            <w:bottom w:val="none" w:sz="0" w:space="0" w:color="auto"/>
            <w:right w:val="none" w:sz="0" w:space="0" w:color="auto"/>
          </w:divBdr>
        </w:div>
        <w:div w:id="1498574814">
          <w:marLeft w:val="0"/>
          <w:marRight w:val="0"/>
          <w:marTop w:val="0"/>
          <w:marBottom w:val="0"/>
          <w:divBdr>
            <w:top w:val="none" w:sz="0" w:space="0" w:color="auto"/>
            <w:left w:val="none" w:sz="0" w:space="0" w:color="auto"/>
            <w:bottom w:val="none" w:sz="0" w:space="0" w:color="auto"/>
            <w:right w:val="none" w:sz="0" w:space="0" w:color="auto"/>
          </w:divBdr>
        </w:div>
        <w:div w:id="809328251">
          <w:marLeft w:val="0"/>
          <w:marRight w:val="0"/>
          <w:marTop w:val="0"/>
          <w:marBottom w:val="0"/>
          <w:divBdr>
            <w:top w:val="none" w:sz="0" w:space="0" w:color="auto"/>
            <w:left w:val="none" w:sz="0" w:space="0" w:color="auto"/>
            <w:bottom w:val="none" w:sz="0" w:space="0" w:color="auto"/>
            <w:right w:val="none" w:sz="0" w:space="0" w:color="auto"/>
          </w:divBdr>
        </w:div>
        <w:div w:id="954101415">
          <w:marLeft w:val="0"/>
          <w:marRight w:val="0"/>
          <w:marTop w:val="0"/>
          <w:marBottom w:val="0"/>
          <w:divBdr>
            <w:top w:val="none" w:sz="0" w:space="0" w:color="auto"/>
            <w:left w:val="none" w:sz="0" w:space="0" w:color="auto"/>
            <w:bottom w:val="none" w:sz="0" w:space="0" w:color="auto"/>
            <w:right w:val="none" w:sz="0" w:space="0" w:color="auto"/>
          </w:divBdr>
        </w:div>
        <w:div w:id="326133667">
          <w:marLeft w:val="0"/>
          <w:marRight w:val="0"/>
          <w:marTop w:val="0"/>
          <w:marBottom w:val="0"/>
          <w:divBdr>
            <w:top w:val="none" w:sz="0" w:space="0" w:color="auto"/>
            <w:left w:val="none" w:sz="0" w:space="0" w:color="auto"/>
            <w:bottom w:val="none" w:sz="0" w:space="0" w:color="auto"/>
            <w:right w:val="none" w:sz="0" w:space="0" w:color="auto"/>
          </w:divBdr>
        </w:div>
        <w:div w:id="1855680059">
          <w:marLeft w:val="0"/>
          <w:marRight w:val="0"/>
          <w:marTop w:val="0"/>
          <w:marBottom w:val="0"/>
          <w:divBdr>
            <w:top w:val="none" w:sz="0" w:space="0" w:color="auto"/>
            <w:left w:val="none" w:sz="0" w:space="0" w:color="auto"/>
            <w:bottom w:val="none" w:sz="0" w:space="0" w:color="auto"/>
            <w:right w:val="none" w:sz="0" w:space="0" w:color="auto"/>
          </w:divBdr>
        </w:div>
        <w:div w:id="108352421">
          <w:marLeft w:val="0"/>
          <w:marRight w:val="0"/>
          <w:marTop w:val="0"/>
          <w:marBottom w:val="0"/>
          <w:divBdr>
            <w:top w:val="none" w:sz="0" w:space="0" w:color="auto"/>
            <w:left w:val="none" w:sz="0" w:space="0" w:color="auto"/>
            <w:bottom w:val="none" w:sz="0" w:space="0" w:color="auto"/>
            <w:right w:val="none" w:sz="0" w:space="0" w:color="auto"/>
          </w:divBdr>
        </w:div>
        <w:div w:id="66001361">
          <w:marLeft w:val="0"/>
          <w:marRight w:val="0"/>
          <w:marTop w:val="0"/>
          <w:marBottom w:val="0"/>
          <w:divBdr>
            <w:top w:val="none" w:sz="0" w:space="0" w:color="auto"/>
            <w:left w:val="none" w:sz="0" w:space="0" w:color="auto"/>
            <w:bottom w:val="none" w:sz="0" w:space="0" w:color="auto"/>
            <w:right w:val="none" w:sz="0" w:space="0" w:color="auto"/>
          </w:divBdr>
        </w:div>
      </w:divsChild>
    </w:div>
    <w:div w:id="65038525">
      <w:bodyDiv w:val="1"/>
      <w:marLeft w:val="0"/>
      <w:marRight w:val="0"/>
      <w:marTop w:val="0"/>
      <w:marBottom w:val="0"/>
      <w:divBdr>
        <w:top w:val="none" w:sz="0" w:space="0" w:color="auto"/>
        <w:left w:val="none" w:sz="0" w:space="0" w:color="auto"/>
        <w:bottom w:val="none" w:sz="0" w:space="0" w:color="auto"/>
        <w:right w:val="none" w:sz="0" w:space="0" w:color="auto"/>
      </w:divBdr>
      <w:divsChild>
        <w:div w:id="983316304">
          <w:marLeft w:val="0"/>
          <w:marRight w:val="0"/>
          <w:marTop w:val="0"/>
          <w:marBottom w:val="0"/>
          <w:divBdr>
            <w:top w:val="none" w:sz="0" w:space="0" w:color="auto"/>
            <w:left w:val="none" w:sz="0" w:space="0" w:color="auto"/>
            <w:bottom w:val="none" w:sz="0" w:space="0" w:color="auto"/>
            <w:right w:val="none" w:sz="0" w:space="0" w:color="auto"/>
          </w:divBdr>
        </w:div>
        <w:div w:id="494810308">
          <w:marLeft w:val="0"/>
          <w:marRight w:val="0"/>
          <w:marTop w:val="0"/>
          <w:marBottom w:val="0"/>
          <w:divBdr>
            <w:top w:val="none" w:sz="0" w:space="0" w:color="auto"/>
            <w:left w:val="none" w:sz="0" w:space="0" w:color="auto"/>
            <w:bottom w:val="none" w:sz="0" w:space="0" w:color="auto"/>
            <w:right w:val="none" w:sz="0" w:space="0" w:color="auto"/>
          </w:divBdr>
        </w:div>
        <w:div w:id="1521043040">
          <w:marLeft w:val="0"/>
          <w:marRight w:val="0"/>
          <w:marTop w:val="0"/>
          <w:marBottom w:val="0"/>
          <w:divBdr>
            <w:top w:val="none" w:sz="0" w:space="0" w:color="auto"/>
            <w:left w:val="none" w:sz="0" w:space="0" w:color="auto"/>
            <w:bottom w:val="none" w:sz="0" w:space="0" w:color="auto"/>
            <w:right w:val="none" w:sz="0" w:space="0" w:color="auto"/>
          </w:divBdr>
        </w:div>
        <w:div w:id="1776559602">
          <w:marLeft w:val="0"/>
          <w:marRight w:val="0"/>
          <w:marTop w:val="0"/>
          <w:marBottom w:val="0"/>
          <w:divBdr>
            <w:top w:val="none" w:sz="0" w:space="0" w:color="auto"/>
            <w:left w:val="none" w:sz="0" w:space="0" w:color="auto"/>
            <w:bottom w:val="none" w:sz="0" w:space="0" w:color="auto"/>
            <w:right w:val="none" w:sz="0" w:space="0" w:color="auto"/>
          </w:divBdr>
        </w:div>
        <w:div w:id="1389181123">
          <w:marLeft w:val="0"/>
          <w:marRight w:val="0"/>
          <w:marTop w:val="0"/>
          <w:marBottom w:val="0"/>
          <w:divBdr>
            <w:top w:val="none" w:sz="0" w:space="0" w:color="auto"/>
            <w:left w:val="none" w:sz="0" w:space="0" w:color="auto"/>
            <w:bottom w:val="none" w:sz="0" w:space="0" w:color="auto"/>
            <w:right w:val="none" w:sz="0" w:space="0" w:color="auto"/>
          </w:divBdr>
        </w:div>
        <w:div w:id="697587730">
          <w:marLeft w:val="0"/>
          <w:marRight w:val="0"/>
          <w:marTop w:val="0"/>
          <w:marBottom w:val="0"/>
          <w:divBdr>
            <w:top w:val="none" w:sz="0" w:space="0" w:color="auto"/>
            <w:left w:val="none" w:sz="0" w:space="0" w:color="auto"/>
            <w:bottom w:val="none" w:sz="0" w:space="0" w:color="auto"/>
            <w:right w:val="none" w:sz="0" w:space="0" w:color="auto"/>
          </w:divBdr>
        </w:div>
        <w:div w:id="1087731154">
          <w:marLeft w:val="0"/>
          <w:marRight w:val="0"/>
          <w:marTop w:val="0"/>
          <w:marBottom w:val="0"/>
          <w:divBdr>
            <w:top w:val="none" w:sz="0" w:space="0" w:color="auto"/>
            <w:left w:val="none" w:sz="0" w:space="0" w:color="auto"/>
            <w:bottom w:val="none" w:sz="0" w:space="0" w:color="auto"/>
            <w:right w:val="none" w:sz="0" w:space="0" w:color="auto"/>
          </w:divBdr>
        </w:div>
        <w:div w:id="899824007">
          <w:marLeft w:val="0"/>
          <w:marRight w:val="0"/>
          <w:marTop w:val="0"/>
          <w:marBottom w:val="0"/>
          <w:divBdr>
            <w:top w:val="none" w:sz="0" w:space="0" w:color="auto"/>
            <w:left w:val="none" w:sz="0" w:space="0" w:color="auto"/>
            <w:bottom w:val="none" w:sz="0" w:space="0" w:color="auto"/>
            <w:right w:val="none" w:sz="0" w:space="0" w:color="auto"/>
          </w:divBdr>
        </w:div>
      </w:divsChild>
    </w:div>
    <w:div w:id="383718345">
      <w:bodyDiv w:val="1"/>
      <w:marLeft w:val="0"/>
      <w:marRight w:val="0"/>
      <w:marTop w:val="0"/>
      <w:marBottom w:val="0"/>
      <w:divBdr>
        <w:top w:val="none" w:sz="0" w:space="0" w:color="auto"/>
        <w:left w:val="none" w:sz="0" w:space="0" w:color="auto"/>
        <w:bottom w:val="none" w:sz="0" w:space="0" w:color="auto"/>
        <w:right w:val="none" w:sz="0" w:space="0" w:color="auto"/>
      </w:divBdr>
      <w:divsChild>
        <w:div w:id="1173688291">
          <w:marLeft w:val="0"/>
          <w:marRight w:val="0"/>
          <w:marTop w:val="0"/>
          <w:marBottom w:val="0"/>
          <w:divBdr>
            <w:top w:val="none" w:sz="0" w:space="0" w:color="auto"/>
            <w:left w:val="none" w:sz="0" w:space="0" w:color="auto"/>
            <w:bottom w:val="none" w:sz="0" w:space="0" w:color="auto"/>
            <w:right w:val="none" w:sz="0" w:space="0" w:color="auto"/>
          </w:divBdr>
        </w:div>
        <w:div w:id="117451557">
          <w:marLeft w:val="0"/>
          <w:marRight w:val="0"/>
          <w:marTop w:val="0"/>
          <w:marBottom w:val="0"/>
          <w:divBdr>
            <w:top w:val="none" w:sz="0" w:space="0" w:color="auto"/>
            <w:left w:val="none" w:sz="0" w:space="0" w:color="auto"/>
            <w:bottom w:val="none" w:sz="0" w:space="0" w:color="auto"/>
            <w:right w:val="none" w:sz="0" w:space="0" w:color="auto"/>
          </w:divBdr>
        </w:div>
        <w:div w:id="839541502">
          <w:marLeft w:val="0"/>
          <w:marRight w:val="0"/>
          <w:marTop w:val="0"/>
          <w:marBottom w:val="0"/>
          <w:divBdr>
            <w:top w:val="none" w:sz="0" w:space="0" w:color="auto"/>
            <w:left w:val="none" w:sz="0" w:space="0" w:color="auto"/>
            <w:bottom w:val="none" w:sz="0" w:space="0" w:color="auto"/>
            <w:right w:val="none" w:sz="0" w:space="0" w:color="auto"/>
          </w:divBdr>
        </w:div>
        <w:div w:id="1376001272">
          <w:marLeft w:val="0"/>
          <w:marRight w:val="0"/>
          <w:marTop w:val="0"/>
          <w:marBottom w:val="0"/>
          <w:divBdr>
            <w:top w:val="none" w:sz="0" w:space="0" w:color="auto"/>
            <w:left w:val="none" w:sz="0" w:space="0" w:color="auto"/>
            <w:bottom w:val="none" w:sz="0" w:space="0" w:color="auto"/>
            <w:right w:val="none" w:sz="0" w:space="0" w:color="auto"/>
          </w:divBdr>
        </w:div>
        <w:div w:id="1807119051">
          <w:marLeft w:val="0"/>
          <w:marRight w:val="0"/>
          <w:marTop w:val="0"/>
          <w:marBottom w:val="0"/>
          <w:divBdr>
            <w:top w:val="none" w:sz="0" w:space="0" w:color="auto"/>
            <w:left w:val="none" w:sz="0" w:space="0" w:color="auto"/>
            <w:bottom w:val="none" w:sz="0" w:space="0" w:color="auto"/>
            <w:right w:val="none" w:sz="0" w:space="0" w:color="auto"/>
          </w:divBdr>
        </w:div>
        <w:div w:id="2098090832">
          <w:marLeft w:val="0"/>
          <w:marRight w:val="0"/>
          <w:marTop w:val="0"/>
          <w:marBottom w:val="0"/>
          <w:divBdr>
            <w:top w:val="none" w:sz="0" w:space="0" w:color="auto"/>
            <w:left w:val="none" w:sz="0" w:space="0" w:color="auto"/>
            <w:bottom w:val="none" w:sz="0" w:space="0" w:color="auto"/>
            <w:right w:val="none" w:sz="0" w:space="0" w:color="auto"/>
          </w:divBdr>
        </w:div>
        <w:div w:id="899554086">
          <w:marLeft w:val="0"/>
          <w:marRight w:val="0"/>
          <w:marTop w:val="0"/>
          <w:marBottom w:val="0"/>
          <w:divBdr>
            <w:top w:val="none" w:sz="0" w:space="0" w:color="auto"/>
            <w:left w:val="none" w:sz="0" w:space="0" w:color="auto"/>
            <w:bottom w:val="none" w:sz="0" w:space="0" w:color="auto"/>
            <w:right w:val="none" w:sz="0" w:space="0" w:color="auto"/>
          </w:divBdr>
        </w:div>
        <w:div w:id="120612888">
          <w:marLeft w:val="0"/>
          <w:marRight w:val="0"/>
          <w:marTop w:val="0"/>
          <w:marBottom w:val="0"/>
          <w:divBdr>
            <w:top w:val="none" w:sz="0" w:space="0" w:color="auto"/>
            <w:left w:val="none" w:sz="0" w:space="0" w:color="auto"/>
            <w:bottom w:val="none" w:sz="0" w:space="0" w:color="auto"/>
            <w:right w:val="none" w:sz="0" w:space="0" w:color="auto"/>
          </w:divBdr>
        </w:div>
        <w:div w:id="319620955">
          <w:marLeft w:val="0"/>
          <w:marRight w:val="0"/>
          <w:marTop w:val="0"/>
          <w:marBottom w:val="0"/>
          <w:divBdr>
            <w:top w:val="none" w:sz="0" w:space="0" w:color="auto"/>
            <w:left w:val="none" w:sz="0" w:space="0" w:color="auto"/>
            <w:bottom w:val="none" w:sz="0" w:space="0" w:color="auto"/>
            <w:right w:val="none" w:sz="0" w:space="0" w:color="auto"/>
          </w:divBdr>
        </w:div>
        <w:div w:id="644043219">
          <w:marLeft w:val="0"/>
          <w:marRight w:val="0"/>
          <w:marTop w:val="0"/>
          <w:marBottom w:val="0"/>
          <w:divBdr>
            <w:top w:val="none" w:sz="0" w:space="0" w:color="auto"/>
            <w:left w:val="none" w:sz="0" w:space="0" w:color="auto"/>
            <w:bottom w:val="none" w:sz="0" w:space="0" w:color="auto"/>
            <w:right w:val="none" w:sz="0" w:space="0" w:color="auto"/>
          </w:divBdr>
        </w:div>
        <w:div w:id="738753791">
          <w:marLeft w:val="0"/>
          <w:marRight w:val="0"/>
          <w:marTop w:val="0"/>
          <w:marBottom w:val="0"/>
          <w:divBdr>
            <w:top w:val="none" w:sz="0" w:space="0" w:color="auto"/>
            <w:left w:val="none" w:sz="0" w:space="0" w:color="auto"/>
            <w:bottom w:val="none" w:sz="0" w:space="0" w:color="auto"/>
            <w:right w:val="none" w:sz="0" w:space="0" w:color="auto"/>
          </w:divBdr>
        </w:div>
        <w:div w:id="2092314574">
          <w:marLeft w:val="0"/>
          <w:marRight w:val="0"/>
          <w:marTop w:val="0"/>
          <w:marBottom w:val="0"/>
          <w:divBdr>
            <w:top w:val="none" w:sz="0" w:space="0" w:color="auto"/>
            <w:left w:val="none" w:sz="0" w:space="0" w:color="auto"/>
            <w:bottom w:val="none" w:sz="0" w:space="0" w:color="auto"/>
            <w:right w:val="none" w:sz="0" w:space="0" w:color="auto"/>
          </w:divBdr>
        </w:div>
      </w:divsChild>
    </w:div>
    <w:div w:id="395015289">
      <w:bodyDiv w:val="1"/>
      <w:marLeft w:val="0"/>
      <w:marRight w:val="0"/>
      <w:marTop w:val="0"/>
      <w:marBottom w:val="0"/>
      <w:divBdr>
        <w:top w:val="none" w:sz="0" w:space="0" w:color="auto"/>
        <w:left w:val="none" w:sz="0" w:space="0" w:color="auto"/>
        <w:bottom w:val="none" w:sz="0" w:space="0" w:color="auto"/>
        <w:right w:val="none" w:sz="0" w:space="0" w:color="auto"/>
      </w:divBdr>
    </w:div>
    <w:div w:id="452016096">
      <w:bodyDiv w:val="1"/>
      <w:marLeft w:val="0"/>
      <w:marRight w:val="0"/>
      <w:marTop w:val="0"/>
      <w:marBottom w:val="0"/>
      <w:divBdr>
        <w:top w:val="none" w:sz="0" w:space="0" w:color="auto"/>
        <w:left w:val="none" w:sz="0" w:space="0" w:color="auto"/>
        <w:bottom w:val="none" w:sz="0" w:space="0" w:color="auto"/>
        <w:right w:val="none" w:sz="0" w:space="0" w:color="auto"/>
      </w:divBdr>
      <w:divsChild>
        <w:div w:id="110443340">
          <w:marLeft w:val="0"/>
          <w:marRight w:val="0"/>
          <w:marTop w:val="0"/>
          <w:marBottom w:val="0"/>
          <w:divBdr>
            <w:top w:val="none" w:sz="0" w:space="0" w:color="auto"/>
            <w:left w:val="none" w:sz="0" w:space="0" w:color="auto"/>
            <w:bottom w:val="none" w:sz="0" w:space="0" w:color="auto"/>
            <w:right w:val="none" w:sz="0" w:space="0" w:color="auto"/>
          </w:divBdr>
        </w:div>
        <w:div w:id="1601379114">
          <w:marLeft w:val="0"/>
          <w:marRight w:val="0"/>
          <w:marTop w:val="0"/>
          <w:marBottom w:val="0"/>
          <w:divBdr>
            <w:top w:val="none" w:sz="0" w:space="0" w:color="auto"/>
            <w:left w:val="none" w:sz="0" w:space="0" w:color="auto"/>
            <w:bottom w:val="none" w:sz="0" w:space="0" w:color="auto"/>
            <w:right w:val="none" w:sz="0" w:space="0" w:color="auto"/>
          </w:divBdr>
        </w:div>
        <w:div w:id="794174673">
          <w:marLeft w:val="0"/>
          <w:marRight w:val="0"/>
          <w:marTop w:val="0"/>
          <w:marBottom w:val="0"/>
          <w:divBdr>
            <w:top w:val="none" w:sz="0" w:space="0" w:color="auto"/>
            <w:left w:val="none" w:sz="0" w:space="0" w:color="auto"/>
            <w:bottom w:val="none" w:sz="0" w:space="0" w:color="auto"/>
            <w:right w:val="none" w:sz="0" w:space="0" w:color="auto"/>
          </w:divBdr>
        </w:div>
        <w:div w:id="1862236284">
          <w:marLeft w:val="0"/>
          <w:marRight w:val="0"/>
          <w:marTop w:val="0"/>
          <w:marBottom w:val="0"/>
          <w:divBdr>
            <w:top w:val="none" w:sz="0" w:space="0" w:color="auto"/>
            <w:left w:val="none" w:sz="0" w:space="0" w:color="auto"/>
            <w:bottom w:val="none" w:sz="0" w:space="0" w:color="auto"/>
            <w:right w:val="none" w:sz="0" w:space="0" w:color="auto"/>
          </w:divBdr>
        </w:div>
        <w:div w:id="1643195622">
          <w:marLeft w:val="0"/>
          <w:marRight w:val="0"/>
          <w:marTop w:val="0"/>
          <w:marBottom w:val="0"/>
          <w:divBdr>
            <w:top w:val="none" w:sz="0" w:space="0" w:color="auto"/>
            <w:left w:val="none" w:sz="0" w:space="0" w:color="auto"/>
            <w:bottom w:val="none" w:sz="0" w:space="0" w:color="auto"/>
            <w:right w:val="none" w:sz="0" w:space="0" w:color="auto"/>
          </w:divBdr>
        </w:div>
        <w:div w:id="367491680">
          <w:marLeft w:val="0"/>
          <w:marRight w:val="0"/>
          <w:marTop w:val="0"/>
          <w:marBottom w:val="0"/>
          <w:divBdr>
            <w:top w:val="none" w:sz="0" w:space="0" w:color="auto"/>
            <w:left w:val="none" w:sz="0" w:space="0" w:color="auto"/>
            <w:bottom w:val="none" w:sz="0" w:space="0" w:color="auto"/>
            <w:right w:val="none" w:sz="0" w:space="0" w:color="auto"/>
          </w:divBdr>
        </w:div>
        <w:div w:id="1579367876">
          <w:marLeft w:val="0"/>
          <w:marRight w:val="0"/>
          <w:marTop w:val="0"/>
          <w:marBottom w:val="0"/>
          <w:divBdr>
            <w:top w:val="none" w:sz="0" w:space="0" w:color="auto"/>
            <w:left w:val="none" w:sz="0" w:space="0" w:color="auto"/>
            <w:bottom w:val="none" w:sz="0" w:space="0" w:color="auto"/>
            <w:right w:val="none" w:sz="0" w:space="0" w:color="auto"/>
          </w:divBdr>
        </w:div>
        <w:div w:id="448276853">
          <w:marLeft w:val="0"/>
          <w:marRight w:val="0"/>
          <w:marTop w:val="0"/>
          <w:marBottom w:val="0"/>
          <w:divBdr>
            <w:top w:val="none" w:sz="0" w:space="0" w:color="auto"/>
            <w:left w:val="none" w:sz="0" w:space="0" w:color="auto"/>
            <w:bottom w:val="none" w:sz="0" w:space="0" w:color="auto"/>
            <w:right w:val="none" w:sz="0" w:space="0" w:color="auto"/>
          </w:divBdr>
        </w:div>
        <w:div w:id="1877427442">
          <w:marLeft w:val="0"/>
          <w:marRight w:val="0"/>
          <w:marTop w:val="0"/>
          <w:marBottom w:val="0"/>
          <w:divBdr>
            <w:top w:val="none" w:sz="0" w:space="0" w:color="auto"/>
            <w:left w:val="none" w:sz="0" w:space="0" w:color="auto"/>
            <w:bottom w:val="none" w:sz="0" w:space="0" w:color="auto"/>
            <w:right w:val="none" w:sz="0" w:space="0" w:color="auto"/>
          </w:divBdr>
        </w:div>
        <w:div w:id="595410301">
          <w:marLeft w:val="0"/>
          <w:marRight w:val="0"/>
          <w:marTop w:val="0"/>
          <w:marBottom w:val="0"/>
          <w:divBdr>
            <w:top w:val="none" w:sz="0" w:space="0" w:color="auto"/>
            <w:left w:val="none" w:sz="0" w:space="0" w:color="auto"/>
            <w:bottom w:val="none" w:sz="0" w:space="0" w:color="auto"/>
            <w:right w:val="none" w:sz="0" w:space="0" w:color="auto"/>
          </w:divBdr>
        </w:div>
        <w:div w:id="1972251006">
          <w:marLeft w:val="0"/>
          <w:marRight w:val="0"/>
          <w:marTop w:val="0"/>
          <w:marBottom w:val="0"/>
          <w:divBdr>
            <w:top w:val="none" w:sz="0" w:space="0" w:color="auto"/>
            <w:left w:val="none" w:sz="0" w:space="0" w:color="auto"/>
            <w:bottom w:val="none" w:sz="0" w:space="0" w:color="auto"/>
            <w:right w:val="none" w:sz="0" w:space="0" w:color="auto"/>
          </w:divBdr>
        </w:div>
        <w:div w:id="1380009893">
          <w:marLeft w:val="0"/>
          <w:marRight w:val="0"/>
          <w:marTop w:val="0"/>
          <w:marBottom w:val="0"/>
          <w:divBdr>
            <w:top w:val="none" w:sz="0" w:space="0" w:color="auto"/>
            <w:left w:val="none" w:sz="0" w:space="0" w:color="auto"/>
            <w:bottom w:val="none" w:sz="0" w:space="0" w:color="auto"/>
            <w:right w:val="none" w:sz="0" w:space="0" w:color="auto"/>
          </w:divBdr>
        </w:div>
        <w:div w:id="869031506">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5238894">
      <w:bodyDiv w:val="1"/>
      <w:marLeft w:val="0"/>
      <w:marRight w:val="0"/>
      <w:marTop w:val="0"/>
      <w:marBottom w:val="0"/>
      <w:divBdr>
        <w:top w:val="none" w:sz="0" w:space="0" w:color="auto"/>
        <w:left w:val="none" w:sz="0" w:space="0" w:color="auto"/>
        <w:bottom w:val="none" w:sz="0" w:space="0" w:color="auto"/>
        <w:right w:val="none" w:sz="0" w:space="0" w:color="auto"/>
      </w:divBdr>
      <w:divsChild>
        <w:div w:id="1710228313">
          <w:marLeft w:val="0"/>
          <w:marRight w:val="0"/>
          <w:marTop w:val="0"/>
          <w:marBottom w:val="0"/>
          <w:divBdr>
            <w:top w:val="none" w:sz="0" w:space="0" w:color="auto"/>
            <w:left w:val="none" w:sz="0" w:space="0" w:color="auto"/>
            <w:bottom w:val="none" w:sz="0" w:space="0" w:color="auto"/>
            <w:right w:val="none" w:sz="0" w:space="0" w:color="auto"/>
          </w:divBdr>
        </w:div>
        <w:div w:id="1723406985">
          <w:marLeft w:val="0"/>
          <w:marRight w:val="0"/>
          <w:marTop w:val="0"/>
          <w:marBottom w:val="0"/>
          <w:divBdr>
            <w:top w:val="none" w:sz="0" w:space="0" w:color="auto"/>
            <w:left w:val="none" w:sz="0" w:space="0" w:color="auto"/>
            <w:bottom w:val="none" w:sz="0" w:space="0" w:color="auto"/>
            <w:right w:val="none" w:sz="0" w:space="0" w:color="auto"/>
          </w:divBdr>
        </w:div>
        <w:div w:id="16348110">
          <w:marLeft w:val="0"/>
          <w:marRight w:val="0"/>
          <w:marTop w:val="0"/>
          <w:marBottom w:val="0"/>
          <w:divBdr>
            <w:top w:val="none" w:sz="0" w:space="0" w:color="auto"/>
            <w:left w:val="none" w:sz="0" w:space="0" w:color="auto"/>
            <w:bottom w:val="none" w:sz="0" w:space="0" w:color="auto"/>
            <w:right w:val="none" w:sz="0" w:space="0" w:color="auto"/>
          </w:divBdr>
        </w:div>
        <w:div w:id="1263490892">
          <w:marLeft w:val="0"/>
          <w:marRight w:val="0"/>
          <w:marTop w:val="0"/>
          <w:marBottom w:val="0"/>
          <w:divBdr>
            <w:top w:val="none" w:sz="0" w:space="0" w:color="auto"/>
            <w:left w:val="none" w:sz="0" w:space="0" w:color="auto"/>
            <w:bottom w:val="none" w:sz="0" w:space="0" w:color="auto"/>
            <w:right w:val="none" w:sz="0" w:space="0" w:color="auto"/>
          </w:divBdr>
        </w:div>
        <w:div w:id="409817291">
          <w:marLeft w:val="0"/>
          <w:marRight w:val="0"/>
          <w:marTop w:val="0"/>
          <w:marBottom w:val="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01634949">
      <w:bodyDiv w:val="1"/>
      <w:marLeft w:val="0"/>
      <w:marRight w:val="0"/>
      <w:marTop w:val="0"/>
      <w:marBottom w:val="0"/>
      <w:divBdr>
        <w:top w:val="none" w:sz="0" w:space="0" w:color="auto"/>
        <w:left w:val="none" w:sz="0" w:space="0" w:color="auto"/>
        <w:bottom w:val="none" w:sz="0" w:space="0" w:color="auto"/>
        <w:right w:val="none" w:sz="0" w:space="0" w:color="auto"/>
      </w:divBdr>
      <w:divsChild>
        <w:div w:id="1698198466">
          <w:marLeft w:val="0"/>
          <w:marRight w:val="0"/>
          <w:marTop w:val="0"/>
          <w:marBottom w:val="0"/>
          <w:divBdr>
            <w:top w:val="none" w:sz="0" w:space="0" w:color="auto"/>
            <w:left w:val="none" w:sz="0" w:space="0" w:color="auto"/>
            <w:bottom w:val="none" w:sz="0" w:space="0" w:color="auto"/>
            <w:right w:val="none" w:sz="0" w:space="0" w:color="auto"/>
          </w:divBdr>
        </w:div>
        <w:div w:id="2126463779">
          <w:marLeft w:val="0"/>
          <w:marRight w:val="0"/>
          <w:marTop w:val="0"/>
          <w:marBottom w:val="0"/>
          <w:divBdr>
            <w:top w:val="none" w:sz="0" w:space="0" w:color="auto"/>
            <w:left w:val="none" w:sz="0" w:space="0" w:color="auto"/>
            <w:bottom w:val="none" w:sz="0" w:space="0" w:color="auto"/>
            <w:right w:val="none" w:sz="0" w:space="0" w:color="auto"/>
          </w:divBdr>
        </w:div>
        <w:div w:id="759326568">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0828176">
      <w:bodyDiv w:val="1"/>
      <w:marLeft w:val="0"/>
      <w:marRight w:val="0"/>
      <w:marTop w:val="0"/>
      <w:marBottom w:val="0"/>
      <w:divBdr>
        <w:top w:val="none" w:sz="0" w:space="0" w:color="auto"/>
        <w:left w:val="none" w:sz="0" w:space="0" w:color="auto"/>
        <w:bottom w:val="none" w:sz="0" w:space="0" w:color="auto"/>
        <w:right w:val="none" w:sz="0" w:space="0" w:color="auto"/>
      </w:divBdr>
      <w:divsChild>
        <w:div w:id="340276029">
          <w:marLeft w:val="0"/>
          <w:marRight w:val="0"/>
          <w:marTop w:val="0"/>
          <w:marBottom w:val="0"/>
          <w:divBdr>
            <w:top w:val="none" w:sz="0" w:space="0" w:color="auto"/>
            <w:left w:val="none" w:sz="0" w:space="0" w:color="auto"/>
            <w:bottom w:val="none" w:sz="0" w:space="0" w:color="auto"/>
            <w:right w:val="none" w:sz="0" w:space="0" w:color="auto"/>
          </w:divBdr>
        </w:div>
        <w:div w:id="913588285">
          <w:marLeft w:val="0"/>
          <w:marRight w:val="0"/>
          <w:marTop w:val="0"/>
          <w:marBottom w:val="0"/>
          <w:divBdr>
            <w:top w:val="none" w:sz="0" w:space="0" w:color="auto"/>
            <w:left w:val="none" w:sz="0" w:space="0" w:color="auto"/>
            <w:bottom w:val="none" w:sz="0" w:space="0" w:color="auto"/>
            <w:right w:val="none" w:sz="0" w:space="0" w:color="auto"/>
          </w:divBdr>
        </w:div>
        <w:div w:id="138768828">
          <w:marLeft w:val="0"/>
          <w:marRight w:val="0"/>
          <w:marTop w:val="0"/>
          <w:marBottom w:val="0"/>
          <w:divBdr>
            <w:top w:val="none" w:sz="0" w:space="0" w:color="auto"/>
            <w:left w:val="none" w:sz="0" w:space="0" w:color="auto"/>
            <w:bottom w:val="none" w:sz="0" w:space="0" w:color="auto"/>
            <w:right w:val="none" w:sz="0" w:space="0" w:color="auto"/>
          </w:divBdr>
        </w:div>
        <w:div w:id="1635287025">
          <w:marLeft w:val="0"/>
          <w:marRight w:val="0"/>
          <w:marTop w:val="0"/>
          <w:marBottom w:val="0"/>
          <w:divBdr>
            <w:top w:val="none" w:sz="0" w:space="0" w:color="auto"/>
            <w:left w:val="none" w:sz="0" w:space="0" w:color="auto"/>
            <w:bottom w:val="none" w:sz="0" w:space="0" w:color="auto"/>
            <w:right w:val="none" w:sz="0" w:space="0" w:color="auto"/>
          </w:divBdr>
        </w:div>
        <w:div w:id="1618289779">
          <w:marLeft w:val="0"/>
          <w:marRight w:val="0"/>
          <w:marTop w:val="0"/>
          <w:marBottom w:val="0"/>
          <w:divBdr>
            <w:top w:val="none" w:sz="0" w:space="0" w:color="auto"/>
            <w:left w:val="none" w:sz="0" w:space="0" w:color="auto"/>
            <w:bottom w:val="none" w:sz="0" w:space="0" w:color="auto"/>
            <w:right w:val="none" w:sz="0" w:space="0" w:color="auto"/>
          </w:divBdr>
        </w:div>
        <w:div w:id="1532038873">
          <w:marLeft w:val="0"/>
          <w:marRight w:val="0"/>
          <w:marTop w:val="0"/>
          <w:marBottom w:val="0"/>
          <w:divBdr>
            <w:top w:val="none" w:sz="0" w:space="0" w:color="auto"/>
            <w:left w:val="none" w:sz="0" w:space="0" w:color="auto"/>
            <w:bottom w:val="none" w:sz="0" w:space="0" w:color="auto"/>
            <w:right w:val="none" w:sz="0" w:space="0" w:color="auto"/>
          </w:divBdr>
        </w:div>
        <w:div w:id="404694324">
          <w:marLeft w:val="0"/>
          <w:marRight w:val="0"/>
          <w:marTop w:val="0"/>
          <w:marBottom w:val="0"/>
          <w:divBdr>
            <w:top w:val="none" w:sz="0" w:space="0" w:color="auto"/>
            <w:left w:val="none" w:sz="0" w:space="0" w:color="auto"/>
            <w:bottom w:val="none" w:sz="0" w:space="0" w:color="auto"/>
            <w:right w:val="none" w:sz="0" w:space="0" w:color="auto"/>
          </w:divBdr>
        </w:div>
        <w:div w:id="1025211257">
          <w:marLeft w:val="0"/>
          <w:marRight w:val="0"/>
          <w:marTop w:val="0"/>
          <w:marBottom w:val="0"/>
          <w:divBdr>
            <w:top w:val="none" w:sz="0" w:space="0" w:color="auto"/>
            <w:left w:val="none" w:sz="0" w:space="0" w:color="auto"/>
            <w:bottom w:val="none" w:sz="0" w:space="0" w:color="auto"/>
            <w:right w:val="none" w:sz="0" w:space="0" w:color="auto"/>
          </w:divBdr>
        </w:div>
        <w:div w:id="2139370971">
          <w:marLeft w:val="0"/>
          <w:marRight w:val="0"/>
          <w:marTop w:val="0"/>
          <w:marBottom w:val="0"/>
          <w:divBdr>
            <w:top w:val="none" w:sz="0" w:space="0" w:color="auto"/>
            <w:left w:val="none" w:sz="0" w:space="0" w:color="auto"/>
            <w:bottom w:val="none" w:sz="0" w:space="0" w:color="auto"/>
            <w:right w:val="none" w:sz="0" w:space="0" w:color="auto"/>
          </w:divBdr>
        </w:div>
        <w:div w:id="581375276">
          <w:marLeft w:val="0"/>
          <w:marRight w:val="0"/>
          <w:marTop w:val="0"/>
          <w:marBottom w:val="0"/>
          <w:divBdr>
            <w:top w:val="none" w:sz="0" w:space="0" w:color="auto"/>
            <w:left w:val="none" w:sz="0" w:space="0" w:color="auto"/>
            <w:bottom w:val="none" w:sz="0" w:space="0" w:color="auto"/>
            <w:right w:val="none" w:sz="0" w:space="0" w:color="auto"/>
          </w:divBdr>
        </w:div>
        <w:div w:id="1013803836">
          <w:marLeft w:val="0"/>
          <w:marRight w:val="0"/>
          <w:marTop w:val="0"/>
          <w:marBottom w:val="0"/>
          <w:divBdr>
            <w:top w:val="none" w:sz="0" w:space="0" w:color="auto"/>
            <w:left w:val="none" w:sz="0" w:space="0" w:color="auto"/>
            <w:bottom w:val="none" w:sz="0" w:space="0" w:color="auto"/>
            <w:right w:val="none" w:sz="0" w:space="0" w:color="auto"/>
          </w:divBdr>
        </w:div>
        <w:div w:id="302472038">
          <w:marLeft w:val="0"/>
          <w:marRight w:val="0"/>
          <w:marTop w:val="0"/>
          <w:marBottom w:val="0"/>
          <w:divBdr>
            <w:top w:val="none" w:sz="0" w:space="0" w:color="auto"/>
            <w:left w:val="none" w:sz="0" w:space="0" w:color="auto"/>
            <w:bottom w:val="none" w:sz="0" w:space="0" w:color="auto"/>
            <w:right w:val="none" w:sz="0" w:space="0" w:color="auto"/>
          </w:divBdr>
        </w:div>
        <w:div w:id="2003000982">
          <w:marLeft w:val="0"/>
          <w:marRight w:val="0"/>
          <w:marTop w:val="0"/>
          <w:marBottom w:val="0"/>
          <w:divBdr>
            <w:top w:val="none" w:sz="0" w:space="0" w:color="auto"/>
            <w:left w:val="none" w:sz="0" w:space="0" w:color="auto"/>
            <w:bottom w:val="none" w:sz="0" w:space="0" w:color="auto"/>
            <w:right w:val="none" w:sz="0" w:space="0" w:color="auto"/>
          </w:divBdr>
        </w:div>
        <w:div w:id="852106866">
          <w:marLeft w:val="0"/>
          <w:marRight w:val="0"/>
          <w:marTop w:val="0"/>
          <w:marBottom w:val="0"/>
          <w:divBdr>
            <w:top w:val="none" w:sz="0" w:space="0" w:color="auto"/>
            <w:left w:val="none" w:sz="0" w:space="0" w:color="auto"/>
            <w:bottom w:val="none" w:sz="0" w:space="0" w:color="auto"/>
            <w:right w:val="none" w:sz="0" w:space="0" w:color="auto"/>
          </w:divBdr>
        </w:div>
        <w:div w:id="2366382">
          <w:marLeft w:val="0"/>
          <w:marRight w:val="0"/>
          <w:marTop w:val="0"/>
          <w:marBottom w:val="0"/>
          <w:divBdr>
            <w:top w:val="none" w:sz="0" w:space="0" w:color="auto"/>
            <w:left w:val="none" w:sz="0" w:space="0" w:color="auto"/>
            <w:bottom w:val="none" w:sz="0" w:space="0" w:color="auto"/>
            <w:right w:val="none" w:sz="0" w:space="0" w:color="auto"/>
          </w:divBdr>
        </w:div>
        <w:div w:id="2060665217">
          <w:marLeft w:val="0"/>
          <w:marRight w:val="0"/>
          <w:marTop w:val="0"/>
          <w:marBottom w:val="0"/>
          <w:divBdr>
            <w:top w:val="none" w:sz="0" w:space="0" w:color="auto"/>
            <w:left w:val="none" w:sz="0" w:space="0" w:color="auto"/>
            <w:bottom w:val="none" w:sz="0" w:space="0" w:color="auto"/>
            <w:right w:val="none" w:sz="0" w:space="0" w:color="auto"/>
          </w:divBdr>
        </w:div>
        <w:div w:id="2054958975">
          <w:marLeft w:val="0"/>
          <w:marRight w:val="0"/>
          <w:marTop w:val="0"/>
          <w:marBottom w:val="0"/>
          <w:divBdr>
            <w:top w:val="none" w:sz="0" w:space="0" w:color="auto"/>
            <w:left w:val="none" w:sz="0" w:space="0" w:color="auto"/>
            <w:bottom w:val="none" w:sz="0" w:space="0" w:color="auto"/>
            <w:right w:val="none" w:sz="0" w:space="0" w:color="auto"/>
          </w:divBdr>
        </w:div>
      </w:divsChild>
    </w:div>
    <w:div w:id="1170946806">
      <w:bodyDiv w:val="1"/>
      <w:marLeft w:val="0"/>
      <w:marRight w:val="0"/>
      <w:marTop w:val="0"/>
      <w:marBottom w:val="0"/>
      <w:divBdr>
        <w:top w:val="none" w:sz="0" w:space="0" w:color="auto"/>
        <w:left w:val="none" w:sz="0" w:space="0" w:color="auto"/>
        <w:bottom w:val="none" w:sz="0" w:space="0" w:color="auto"/>
        <w:right w:val="none" w:sz="0" w:space="0" w:color="auto"/>
      </w:divBdr>
      <w:divsChild>
        <w:div w:id="1834181459">
          <w:marLeft w:val="0"/>
          <w:marRight w:val="0"/>
          <w:marTop w:val="0"/>
          <w:marBottom w:val="0"/>
          <w:divBdr>
            <w:top w:val="none" w:sz="0" w:space="0" w:color="auto"/>
            <w:left w:val="none" w:sz="0" w:space="0" w:color="auto"/>
            <w:bottom w:val="none" w:sz="0" w:space="0" w:color="auto"/>
            <w:right w:val="none" w:sz="0" w:space="0" w:color="auto"/>
          </w:divBdr>
        </w:div>
        <w:div w:id="2100832601">
          <w:marLeft w:val="0"/>
          <w:marRight w:val="0"/>
          <w:marTop w:val="0"/>
          <w:marBottom w:val="0"/>
          <w:divBdr>
            <w:top w:val="none" w:sz="0" w:space="0" w:color="auto"/>
            <w:left w:val="none" w:sz="0" w:space="0" w:color="auto"/>
            <w:bottom w:val="none" w:sz="0" w:space="0" w:color="auto"/>
            <w:right w:val="none" w:sz="0" w:space="0" w:color="auto"/>
          </w:divBdr>
        </w:div>
        <w:div w:id="1488207275">
          <w:marLeft w:val="0"/>
          <w:marRight w:val="0"/>
          <w:marTop w:val="0"/>
          <w:marBottom w:val="0"/>
          <w:divBdr>
            <w:top w:val="none" w:sz="0" w:space="0" w:color="auto"/>
            <w:left w:val="none" w:sz="0" w:space="0" w:color="auto"/>
            <w:bottom w:val="none" w:sz="0" w:space="0" w:color="auto"/>
            <w:right w:val="none" w:sz="0" w:space="0" w:color="auto"/>
          </w:divBdr>
        </w:div>
        <w:div w:id="1620645111">
          <w:marLeft w:val="0"/>
          <w:marRight w:val="0"/>
          <w:marTop w:val="0"/>
          <w:marBottom w:val="0"/>
          <w:divBdr>
            <w:top w:val="none" w:sz="0" w:space="0" w:color="auto"/>
            <w:left w:val="none" w:sz="0" w:space="0" w:color="auto"/>
            <w:bottom w:val="none" w:sz="0" w:space="0" w:color="auto"/>
            <w:right w:val="none" w:sz="0" w:space="0" w:color="auto"/>
          </w:divBdr>
        </w:div>
        <w:div w:id="1273710816">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4236547">
      <w:bodyDiv w:val="1"/>
      <w:marLeft w:val="0"/>
      <w:marRight w:val="0"/>
      <w:marTop w:val="0"/>
      <w:marBottom w:val="0"/>
      <w:divBdr>
        <w:top w:val="none" w:sz="0" w:space="0" w:color="auto"/>
        <w:left w:val="none" w:sz="0" w:space="0" w:color="auto"/>
        <w:bottom w:val="none" w:sz="0" w:space="0" w:color="auto"/>
        <w:right w:val="none" w:sz="0" w:space="0" w:color="auto"/>
      </w:divBdr>
      <w:divsChild>
        <w:div w:id="1011034557">
          <w:marLeft w:val="0"/>
          <w:marRight w:val="0"/>
          <w:marTop w:val="0"/>
          <w:marBottom w:val="0"/>
          <w:divBdr>
            <w:top w:val="none" w:sz="0" w:space="0" w:color="auto"/>
            <w:left w:val="none" w:sz="0" w:space="0" w:color="auto"/>
            <w:bottom w:val="none" w:sz="0" w:space="0" w:color="auto"/>
            <w:right w:val="none" w:sz="0" w:space="0" w:color="auto"/>
          </w:divBdr>
        </w:div>
        <w:div w:id="1454787895">
          <w:marLeft w:val="0"/>
          <w:marRight w:val="0"/>
          <w:marTop w:val="0"/>
          <w:marBottom w:val="0"/>
          <w:divBdr>
            <w:top w:val="none" w:sz="0" w:space="0" w:color="auto"/>
            <w:left w:val="none" w:sz="0" w:space="0" w:color="auto"/>
            <w:bottom w:val="none" w:sz="0" w:space="0" w:color="auto"/>
            <w:right w:val="none" w:sz="0" w:space="0" w:color="auto"/>
          </w:divBdr>
        </w:div>
      </w:divsChild>
    </w:div>
    <w:div w:id="1424496811">
      <w:bodyDiv w:val="1"/>
      <w:marLeft w:val="0"/>
      <w:marRight w:val="0"/>
      <w:marTop w:val="0"/>
      <w:marBottom w:val="0"/>
      <w:divBdr>
        <w:top w:val="none" w:sz="0" w:space="0" w:color="auto"/>
        <w:left w:val="none" w:sz="0" w:space="0" w:color="auto"/>
        <w:bottom w:val="none" w:sz="0" w:space="0" w:color="auto"/>
        <w:right w:val="none" w:sz="0" w:space="0" w:color="auto"/>
      </w:divBdr>
      <w:divsChild>
        <w:div w:id="542987820">
          <w:marLeft w:val="0"/>
          <w:marRight w:val="0"/>
          <w:marTop w:val="0"/>
          <w:marBottom w:val="0"/>
          <w:divBdr>
            <w:top w:val="none" w:sz="0" w:space="0" w:color="auto"/>
            <w:left w:val="none" w:sz="0" w:space="0" w:color="auto"/>
            <w:bottom w:val="none" w:sz="0" w:space="0" w:color="auto"/>
            <w:right w:val="none" w:sz="0" w:space="0" w:color="auto"/>
          </w:divBdr>
        </w:div>
        <w:div w:id="99570715">
          <w:marLeft w:val="0"/>
          <w:marRight w:val="0"/>
          <w:marTop w:val="0"/>
          <w:marBottom w:val="0"/>
          <w:divBdr>
            <w:top w:val="none" w:sz="0" w:space="0" w:color="auto"/>
            <w:left w:val="none" w:sz="0" w:space="0" w:color="auto"/>
            <w:bottom w:val="none" w:sz="0" w:space="0" w:color="auto"/>
            <w:right w:val="none" w:sz="0" w:space="0" w:color="auto"/>
          </w:divBdr>
        </w:div>
        <w:div w:id="553540637">
          <w:marLeft w:val="0"/>
          <w:marRight w:val="0"/>
          <w:marTop w:val="0"/>
          <w:marBottom w:val="0"/>
          <w:divBdr>
            <w:top w:val="none" w:sz="0" w:space="0" w:color="auto"/>
            <w:left w:val="none" w:sz="0" w:space="0" w:color="auto"/>
            <w:bottom w:val="none" w:sz="0" w:space="0" w:color="auto"/>
            <w:right w:val="none" w:sz="0" w:space="0" w:color="auto"/>
          </w:divBdr>
        </w:div>
      </w:divsChild>
    </w:div>
    <w:div w:id="1495872995">
      <w:bodyDiv w:val="1"/>
      <w:marLeft w:val="0"/>
      <w:marRight w:val="0"/>
      <w:marTop w:val="0"/>
      <w:marBottom w:val="0"/>
      <w:divBdr>
        <w:top w:val="none" w:sz="0" w:space="0" w:color="auto"/>
        <w:left w:val="none" w:sz="0" w:space="0" w:color="auto"/>
        <w:bottom w:val="none" w:sz="0" w:space="0" w:color="auto"/>
        <w:right w:val="none" w:sz="0" w:space="0" w:color="auto"/>
      </w:divBdr>
      <w:divsChild>
        <w:div w:id="838616595">
          <w:marLeft w:val="0"/>
          <w:marRight w:val="0"/>
          <w:marTop w:val="0"/>
          <w:marBottom w:val="0"/>
          <w:divBdr>
            <w:top w:val="none" w:sz="0" w:space="0" w:color="auto"/>
            <w:left w:val="none" w:sz="0" w:space="0" w:color="auto"/>
            <w:bottom w:val="none" w:sz="0" w:space="0" w:color="auto"/>
            <w:right w:val="none" w:sz="0" w:space="0" w:color="auto"/>
          </w:divBdr>
        </w:div>
        <w:div w:id="1525287304">
          <w:marLeft w:val="0"/>
          <w:marRight w:val="0"/>
          <w:marTop w:val="0"/>
          <w:marBottom w:val="0"/>
          <w:divBdr>
            <w:top w:val="none" w:sz="0" w:space="0" w:color="auto"/>
            <w:left w:val="none" w:sz="0" w:space="0" w:color="auto"/>
            <w:bottom w:val="none" w:sz="0" w:space="0" w:color="auto"/>
            <w:right w:val="none" w:sz="0" w:space="0" w:color="auto"/>
          </w:divBdr>
        </w:div>
        <w:div w:id="792864837">
          <w:marLeft w:val="0"/>
          <w:marRight w:val="0"/>
          <w:marTop w:val="0"/>
          <w:marBottom w:val="0"/>
          <w:divBdr>
            <w:top w:val="none" w:sz="0" w:space="0" w:color="auto"/>
            <w:left w:val="none" w:sz="0" w:space="0" w:color="auto"/>
            <w:bottom w:val="none" w:sz="0" w:space="0" w:color="auto"/>
            <w:right w:val="none" w:sz="0" w:space="0" w:color="auto"/>
          </w:divBdr>
        </w:div>
        <w:div w:id="1662197262">
          <w:marLeft w:val="0"/>
          <w:marRight w:val="0"/>
          <w:marTop w:val="0"/>
          <w:marBottom w:val="0"/>
          <w:divBdr>
            <w:top w:val="none" w:sz="0" w:space="0" w:color="auto"/>
            <w:left w:val="none" w:sz="0" w:space="0" w:color="auto"/>
            <w:bottom w:val="none" w:sz="0" w:space="0" w:color="auto"/>
            <w:right w:val="none" w:sz="0" w:space="0" w:color="auto"/>
          </w:divBdr>
        </w:div>
        <w:div w:id="493296864">
          <w:marLeft w:val="0"/>
          <w:marRight w:val="0"/>
          <w:marTop w:val="0"/>
          <w:marBottom w:val="0"/>
          <w:divBdr>
            <w:top w:val="none" w:sz="0" w:space="0" w:color="auto"/>
            <w:left w:val="none" w:sz="0" w:space="0" w:color="auto"/>
            <w:bottom w:val="none" w:sz="0" w:space="0" w:color="auto"/>
            <w:right w:val="none" w:sz="0" w:space="0" w:color="auto"/>
          </w:divBdr>
        </w:div>
        <w:div w:id="1568804052">
          <w:marLeft w:val="0"/>
          <w:marRight w:val="0"/>
          <w:marTop w:val="0"/>
          <w:marBottom w:val="0"/>
          <w:divBdr>
            <w:top w:val="none" w:sz="0" w:space="0" w:color="auto"/>
            <w:left w:val="none" w:sz="0" w:space="0" w:color="auto"/>
            <w:bottom w:val="none" w:sz="0" w:space="0" w:color="auto"/>
            <w:right w:val="none" w:sz="0" w:space="0" w:color="auto"/>
          </w:divBdr>
        </w:div>
        <w:div w:id="794449171">
          <w:marLeft w:val="0"/>
          <w:marRight w:val="0"/>
          <w:marTop w:val="0"/>
          <w:marBottom w:val="0"/>
          <w:divBdr>
            <w:top w:val="none" w:sz="0" w:space="0" w:color="auto"/>
            <w:left w:val="none" w:sz="0" w:space="0" w:color="auto"/>
            <w:bottom w:val="none" w:sz="0" w:space="0" w:color="auto"/>
            <w:right w:val="none" w:sz="0" w:space="0" w:color="auto"/>
          </w:divBdr>
        </w:div>
        <w:div w:id="1552838811">
          <w:marLeft w:val="0"/>
          <w:marRight w:val="0"/>
          <w:marTop w:val="0"/>
          <w:marBottom w:val="0"/>
          <w:divBdr>
            <w:top w:val="none" w:sz="0" w:space="0" w:color="auto"/>
            <w:left w:val="none" w:sz="0" w:space="0" w:color="auto"/>
            <w:bottom w:val="none" w:sz="0" w:space="0" w:color="auto"/>
            <w:right w:val="none" w:sz="0" w:space="0" w:color="auto"/>
          </w:divBdr>
        </w:div>
        <w:div w:id="361905863">
          <w:marLeft w:val="0"/>
          <w:marRight w:val="0"/>
          <w:marTop w:val="0"/>
          <w:marBottom w:val="0"/>
          <w:divBdr>
            <w:top w:val="none" w:sz="0" w:space="0" w:color="auto"/>
            <w:left w:val="none" w:sz="0" w:space="0" w:color="auto"/>
            <w:bottom w:val="none" w:sz="0" w:space="0" w:color="auto"/>
            <w:right w:val="none" w:sz="0" w:space="0" w:color="auto"/>
          </w:divBdr>
        </w:div>
        <w:div w:id="1994064652">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82864181">
      <w:bodyDiv w:val="1"/>
      <w:marLeft w:val="0"/>
      <w:marRight w:val="0"/>
      <w:marTop w:val="0"/>
      <w:marBottom w:val="0"/>
      <w:divBdr>
        <w:top w:val="none" w:sz="0" w:space="0" w:color="auto"/>
        <w:left w:val="none" w:sz="0" w:space="0" w:color="auto"/>
        <w:bottom w:val="none" w:sz="0" w:space="0" w:color="auto"/>
        <w:right w:val="none" w:sz="0" w:space="0" w:color="auto"/>
      </w:divBdr>
      <w:divsChild>
        <w:div w:id="1513178904">
          <w:marLeft w:val="0"/>
          <w:marRight w:val="0"/>
          <w:marTop w:val="0"/>
          <w:marBottom w:val="0"/>
          <w:divBdr>
            <w:top w:val="none" w:sz="0" w:space="0" w:color="auto"/>
            <w:left w:val="none" w:sz="0" w:space="0" w:color="auto"/>
            <w:bottom w:val="none" w:sz="0" w:space="0" w:color="auto"/>
            <w:right w:val="none" w:sz="0" w:space="0" w:color="auto"/>
          </w:divBdr>
        </w:div>
        <w:div w:id="1910531152">
          <w:marLeft w:val="0"/>
          <w:marRight w:val="0"/>
          <w:marTop w:val="0"/>
          <w:marBottom w:val="0"/>
          <w:divBdr>
            <w:top w:val="none" w:sz="0" w:space="0" w:color="auto"/>
            <w:left w:val="none" w:sz="0" w:space="0" w:color="auto"/>
            <w:bottom w:val="none" w:sz="0" w:space="0" w:color="auto"/>
            <w:right w:val="none" w:sz="0" w:space="0" w:color="auto"/>
          </w:divBdr>
        </w:div>
        <w:div w:id="1697266852">
          <w:marLeft w:val="0"/>
          <w:marRight w:val="0"/>
          <w:marTop w:val="0"/>
          <w:marBottom w:val="0"/>
          <w:divBdr>
            <w:top w:val="none" w:sz="0" w:space="0" w:color="auto"/>
            <w:left w:val="none" w:sz="0" w:space="0" w:color="auto"/>
            <w:bottom w:val="none" w:sz="0" w:space="0" w:color="auto"/>
            <w:right w:val="none" w:sz="0" w:space="0" w:color="auto"/>
          </w:divBdr>
        </w:div>
      </w:divsChild>
    </w:div>
    <w:div w:id="1980768057">
      <w:bodyDiv w:val="1"/>
      <w:marLeft w:val="0"/>
      <w:marRight w:val="0"/>
      <w:marTop w:val="0"/>
      <w:marBottom w:val="0"/>
      <w:divBdr>
        <w:top w:val="none" w:sz="0" w:space="0" w:color="auto"/>
        <w:left w:val="none" w:sz="0" w:space="0" w:color="auto"/>
        <w:bottom w:val="none" w:sz="0" w:space="0" w:color="auto"/>
        <w:right w:val="none" w:sz="0" w:space="0" w:color="auto"/>
      </w:divBdr>
      <w:divsChild>
        <w:div w:id="1678535367">
          <w:marLeft w:val="0"/>
          <w:marRight w:val="0"/>
          <w:marTop w:val="0"/>
          <w:marBottom w:val="0"/>
          <w:divBdr>
            <w:top w:val="none" w:sz="0" w:space="0" w:color="auto"/>
            <w:left w:val="none" w:sz="0" w:space="0" w:color="auto"/>
            <w:bottom w:val="none" w:sz="0" w:space="0" w:color="auto"/>
            <w:right w:val="none" w:sz="0" w:space="0" w:color="auto"/>
          </w:divBdr>
        </w:div>
        <w:div w:id="1892837832">
          <w:marLeft w:val="0"/>
          <w:marRight w:val="0"/>
          <w:marTop w:val="0"/>
          <w:marBottom w:val="0"/>
          <w:divBdr>
            <w:top w:val="none" w:sz="0" w:space="0" w:color="auto"/>
            <w:left w:val="none" w:sz="0" w:space="0" w:color="auto"/>
            <w:bottom w:val="none" w:sz="0" w:space="0" w:color="auto"/>
            <w:right w:val="none" w:sz="0" w:space="0" w:color="auto"/>
          </w:divBdr>
        </w:div>
        <w:div w:id="1245721380">
          <w:marLeft w:val="0"/>
          <w:marRight w:val="0"/>
          <w:marTop w:val="0"/>
          <w:marBottom w:val="0"/>
          <w:divBdr>
            <w:top w:val="none" w:sz="0" w:space="0" w:color="auto"/>
            <w:left w:val="none" w:sz="0" w:space="0" w:color="auto"/>
            <w:bottom w:val="none" w:sz="0" w:space="0" w:color="auto"/>
            <w:right w:val="none" w:sz="0" w:space="0" w:color="auto"/>
          </w:divBdr>
        </w:div>
        <w:div w:id="2125691992">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724163917/https:/www.indiacode.nic.in/bitstream/123456789/2003/1/A2001-52.pdf" TargetMode="External"/><Relationship Id="rId26" Type="http://schemas.openxmlformats.org/officeDocument/2006/relationships/hyperlink" Target="https://web.archive.org/web/20250723141820/https:/www.iso.org/standard/66453.html" TargetMode="External"/><Relationship Id="rId3" Type="http://schemas.openxmlformats.org/officeDocument/2006/relationships/customXml" Target="../customXml/item3.xml"/><Relationship Id="rId21" Type="http://schemas.openxmlformats.org/officeDocument/2006/relationships/hyperlink" Target="https://web.archive.org/web/20250118045416/https:/beeindia.gov.in/sites/default/files/2024-10/OM%20for%20approved%20Sectors%20in%20Offset%20Mechanism%20under%20CCTS.PDF" TargetMode="External"/><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01353/https:/beeindia.gov.in/sites/default/files/CCTS.pdf" TargetMode="External"/><Relationship Id="rId25" Type="http://schemas.openxmlformats.org/officeDocument/2006/relationships/hyperlink" Target="https://web.archive.org/web/20250723141508/https:/www.iso.org/standard/74257.html" TargetMode="External"/><Relationship Id="rId33"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4164127/https:/beeindia.gov.in/sites/default/files/Detailed%20Procedure%20for%20Compliance%20Mechanism.pdf" TargetMode="External"/><Relationship Id="rId29" Type="http://schemas.openxmlformats.org/officeDocument/2006/relationships/hyperlink" Target="https://web.archive.org/web/20250710211932/https:/www.ipcc-nggip.iges.or.jp/public/2006gl/index.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118045416/https:/beeindia.gov.in/sites/default/files/2024-10/OM%20for%20approved%20Sectors%20in%20Offset%20Mechanism%20under%20CCTS.PDF" TargetMode="External"/><Relationship Id="rId32"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723131717/https:/beeindia.gov.in/sites/default/files/Detailed%20Procedure%20for%20Offset%20Mechanism_CCTS.pdf" TargetMode="External"/><Relationship Id="rId28" Type="http://schemas.openxmlformats.org/officeDocument/2006/relationships/hyperlink" Target="https://web.archive.org/web/20250723142032/https:/www.iso.org/standard/66455.html"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724164105/https:/beeindia.gov.in/sites/default/files/ACV_Procedure_Doc_18102024_Published.pdf" TargetMode="External"/><Relationship Id="rId31" Type="http://schemas.openxmlformats.org/officeDocument/2006/relationships/hyperlink" Target="https://web.archive.org/web/20250424064100/https:/unfccc.int/sites/default/files/resource/A6.4-SBM014-A04.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08101831/https:/beeindia.gov.in/sites/default/files/Detailed%20Procedure%20for%20Offset%20Mechanism_CCTS.pdf" TargetMode="External"/><Relationship Id="rId27" Type="http://schemas.openxmlformats.org/officeDocument/2006/relationships/hyperlink" Target="https://web.archive.org/web/20250723142106/https:/www.iso.org/standard/66454.html" TargetMode="External"/><Relationship Id="rId30" Type="http://schemas.openxmlformats.org/officeDocument/2006/relationships/hyperlink" Target="https://web.archive.org/web/20250723145336/https:/www.un.org/en/exhibits/page/sdgs-17-goals-transform-world" TargetMode="External"/><Relationship Id="rId35" Type="http://schemas.openxmlformats.org/officeDocument/2006/relationships/fontTable" Target="fontTable.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404</TotalTime>
  <Pages>114</Pages>
  <Words>23975</Words>
  <Characters>138339</Characters>
  <Application>Microsoft Office Word</Application>
  <DocSecurity>0</DocSecurity>
  <Lines>2766</Lines>
  <Paragraphs>995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BTG Advaya</cp:lastModifiedBy>
  <cp:revision>73</cp:revision>
  <cp:lastPrinted>2025-07-20T15:48:00Z</cp:lastPrinted>
  <dcterms:created xsi:type="dcterms:W3CDTF">2025-06-23T10:33:00Z</dcterms:created>
  <dcterms:modified xsi:type="dcterms:W3CDTF">2025-07-24T16:51:00Z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